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242DD" w14:textId="77777777" w:rsidR="003F30EA" w:rsidRPr="009871DC" w:rsidRDefault="003F30EA" w:rsidP="00094737">
      <w:pPr>
        <w:spacing w:after="0" w:line="240" w:lineRule="auto"/>
        <w:jc w:val="center"/>
        <w:rPr>
          <w:rFonts w:ascii="Lithos Pro Regular" w:eastAsia="Times New Roman" w:hAnsi="Lithos Pro Regular" w:cs="Times New Roman"/>
          <w:sz w:val="36"/>
          <w:szCs w:val="36"/>
        </w:rPr>
      </w:pPr>
    </w:p>
    <w:p w14:paraId="2C3BDF52" w14:textId="77777777" w:rsidR="003F30EA" w:rsidRPr="009871DC" w:rsidRDefault="003F30EA" w:rsidP="00094737">
      <w:pPr>
        <w:spacing w:after="0" w:line="240" w:lineRule="auto"/>
        <w:jc w:val="center"/>
        <w:rPr>
          <w:rFonts w:ascii="Lithos Pro Regular" w:eastAsia="Times New Roman" w:hAnsi="Lithos Pro Regular" w:cs="Times New Roman"/>
          <w:sz w:val="36"/>
          <w:szCs w:val="36"/>
        </w:rPr>
      </w:pPr>
    </w:p>
    <w:p w14:paraId="0FF307C3" w14:textId="77777777" w:rsidR="003F30EA" w:rsidRPr="009871DC" w:rsidRDefault="003F30EA" w:rsidP="00094737">
      <w:pPr>
        <w:spacing w:after="0" w:line="240" w:lineRule="auto"/>
        <w:jc w:val="center"/>
        <w:rPr>
          <w:rFonts w:ascii="Lithos Pro Regular" w:eastAsia="Times New Roman" w:hAnsi="Lithos Pro Regular" w:cs="Times New Roman"/>
          <w:sz w:val="36"/>
          <w:szCs w:val="36"/>
        </w:rPr>
      </w:pPr>
      <w:r w:rsidRPr="009871DC">
        <w:rPr>
          <w:rFonts w:ascii="Lithos Pro Regular" w:eastAsia="Times New Roman" w:hAnsi="Lithos Pro Regular" w:cs="Times New Roman"/>
          <w:sz w:val="36"/>
          <w:szCs w:val="36"/>
        </w:rPr>
        <w:t>Journal of African Christian Biography</w:t>
      </w:r>
    </w:p>
    <w:p w14:paraId="797D7570" w14:textId="77777777" w:rsidR="003F30EA" w:rsidRPr="009871DC" w:rsidRDefault="003F30EA" w:rsidP="00094737">
      <w:pPr>
        <w:spacing w:after="0" w:line="240" w:lineRule="auto"/>
        <w:jc w:val="center"/>
        <w:rPr>
          <w:rFonts w:ascii="Bell MT" w:eastAsia="Times New Roman" w:hAnsi="Bell MT" w:cs="Times New Roman"/>
          <w:sz w:val="20"/>
          <w:szCs w:val="20"/>
        </w:rPr>
      </w:pPr>
    </w:p>
    <w:p w14:paraId="5D0F5354" w14:textId="77777777" w:rsidR="003F30EA" w:rsidRPr="009871DC" w:rsidRDefault="003F30EA" w:rsidP="00094737">
      <w:pPr>
        <w:spacing w:after="0" w:line="240" w:lineRule="auto"/>
        <w:jc w:val="center"/>
        <w:rPr>
          <w:rFonts w:ascii="Bell MT" w:eastAsia="Times New Roman" w:hAnsi="Bell MT" w:cs="Times New Roman"/>
          <w:sz w:val="20"/>
          <w:szCs w:val="20"/>
        </w:rPr>
      </w:pPr>
    </w:p>
    <w:p w14:paraId="2FFCB148" w14:textId="77777777" w:rsidR="003F30EA" w:rsidRPr="009871DC" w:rsidRDefault="003F30EA" w:rsidP="00094737">
      <w:pPr>
        <w:spacing w:after="0" w:line="240" w:lineRule="auto"/>
        <w:jc w:val="center"/>
        <w:rPr>
          <w:rFonts w:ascii="Bell MT" w:eastAsia="Times New Roman" w:hAnsi="Bell MT" w:cs="Times New Roman"/>
          <w:sz w:val="20"/>
          <w:szCs w:val="20"/>
        </w:rPr>
      </w:pPr>
    </w:p>
    <w:p w14:paraId="0C29E2FD" w14:textId="77777777" w:rsidR="003F30EA" w:rsidRPr="009871DC" w:rsidRDefault="003F30EA" w:rsidP="00094737">
      <w:pPr>
        <w:spacing w:after="0" w:line="240" w:lineRule="auto"/>
        <w:jc w:val="center"/>
        <w:rPr>
          <w:rFonts w:ascii="Bell MT" w:eastAsia="Times New Roman" w:hAnsi="Bell MT" w:cs="Times New Roman"/>
          <w:sz w:val="20"/>
          <w:szCs w:val="20"/>
        </w:rPr>
      </w:pPr>
    </w:p>
    <w:p w14:paraId="3DF5B07E" w14:textId="08BC776E" w:rsidR="003F30EA" w:rsidRPr="0040262C" w:rsidRDefault="003F30EA" w:rsidP="00094737">
      <w:pPr>
        <w:spacing w:after="0" w:line="240" w:lineRule="auto"/>
        <w:jc w:val="center"/>
        <w:rPr>
          <w:rFonts w:ascii="Candara" w:hAnsi="Candara" w:cs="Calibri Light"/>
          <w:noProof/>
          <w:sz w:val="24"/>
          <w:szCs w:val="24"/>
        </w:rPr>
      </w:pPr>
      <w:r w:rsidRPr="0040262C">
        <w:rPr>
          <w:rFonts w:ascii="Candara" w:hAnsi="Candara" w:cs="Calibri Light"/>
          <w:noProof/>
          <w:sz w:val="24"/>
          <w:szCs w:val="24"/>
        </w:rPr>
        <w:t xml:space="preserve">Vol. </w:t>
      </w:r>
      <w:r w:rsidR="006E0C18">
        <w:rPr>
          <w:rFonts w:ascii="Candara" w:hAnsi="Candara" w:cs="Calibri Light"/>
          <w:noProof/>
          <w:sz w:val="24"/>
          <w:szCs w:val="24"/>
        </w:rPr>
        <w:t>9</w:t>
      </w:r>
      <w:r w:rsidRPr="0040262C">
        <w:rPr>
          <w:rFonts w:ascii="Candara" w:hAnsi="Candara" w:cs="Calibri Light"/>
          <w:noProof/>
          <w:sz w:val="24"/>
          <w:szCs w:val="24"/>
        </w:rPr>
        <w:t xml:space="preserve">, No. </w:t>
      </w:r>
      <w:r w:rsidR="00883D22">
        <w:rPr>
          <w:rFonts w:ascii="Candara" w:hAnsi="Candara" w:cs="Calibri Light"/>
          <w:noProof/>
          <w:sz w:val="24"/>
          <w:szCs w:val="24"/>
        </w:rPr>
        <w:t>1</w:t>
      </w:r>
      <w:r w:rsidRPr="0040262C">
        <w:rPr>
          <w:rFonts w:ascii="Candara" w:hAnsi="Candara" w:cs="Calibri Light"/>
          <w:noProof/>
          <w:sz w:val="24"/>
          <w:szCs w:val="24"/>
        </w:rPr>
        <w:t xml:space="preserve"> (</w:t>
      </w:r>
      <w:r w:rsidR="00883D22">
        <w:rPr>
          <w:rFonts w:ascii="Candara" w:hAnsi="Candara" w:cs="Calibri Light"/>
          <w:noProof/>
          <w:sz w:val="24"/>
          <w:szCs w:val="24"/>
        </w:rPr>
        <w:t>Jan</w:t>
      </w:r>
      <w:r w:rsidRPr="0040262C">
        <w:rPr>
          <w:rFonts w:ascii="Candara" w:hAnsi="Candara" w:cs="Calibri Light"/>
          <w:noProof/>
          <w:sz w:val="24"/>
          <w:szCs w:val="24"/>
        </w:rPr>
        <w:t>. 202</w:t>
      </w:r>
      <w:r w:rsidR="006E0C18">
        <w:rPr>
          <w:rFonts w:ascii="Candara" w:hAnsi="Candara" w:cs="Calibri Light"/>
          <w:noProof/>
          <w:sz w:val="24"/>
          <w:szCs w:val="24"/>
        </w:rPr>
        <w:t>4</w:t>
      </w:r>
      <w:r w:rsidRPr="0040262C">
        <w:rPr>
          <w:rFonts w:ascii="Candara" w:hAnsi="Candara" w:cs="Calibri Light"/>
          <w:noProof/>
          <w:sz w:val="24"/>
          <w:szCs w:val="24"/>
        </w:rPr>
        <w:t>)</w:t>
      </w:r>
    </w:p>
    <w:p w14:paraId="1580AE8A" w14:textId="77777777" w:rsidR="003F30EA" w:rsidRPr="009871DC" w:rsidRDefault="003F30EA" w:rsidP="00094737">
      <w:pPr>
        <w:spacing w:after="0" w:line="240" w:lineRule="auto"/>
        <w:jc w:val="center"/>
        <w:rPr>
          <w:rFonts w:ascii="Bell MT" w:eastAsia="Times New Roman" w:hAnsi="Bell MT" w:cs="Times New Roman"/>
          <w:sz w:val="20"/>
          <w:szCs w:val="20"/>
        </w:rPr>
      </w:pPr>
    </w:p>
    <w:p w14:paraId="04B492AB" w14:textId="77777777" w:rsidR="003F30EA" w:rsidRPr="009871DC" w:rsidRDefault="003F30EA" w:rsidP="00094737">
      <w:pPr>
        <w:spacing w:after="0" w:line="240" w:lineRule="auto"/>
        <w:jc w:val="center"/>
        <w:rPr>
          <w:rFonts w:ascii="Bell MT" w:eastAsia="Times New Roman" w:hAnsi="Bell MT" w:cs="Times New Roman"/>
          <w:sz w:val="20"/>
          <w:szCs w:val="20"/>
        </w:rPr>
      </w:pPr>
    </w:p>
    <w:p w14:paraId="1E6B55E2" w14:textId="77777777" w:rsidR="003F30EA" w:rsidRPr="009871DC" w:rsidRDefault="003F30EA" w:rsidP="00094737">
      <w:pPr>
        <w:spacing w:after="0" w:line="240" w:lineRule="auto"/>
        <w:jc w:val="center"/>
        <w:rPr>
          <w:rFonts w:ascii="Bell MT" w:eastAsia="Times New Roman" w:hAnsi="Bell MT" w:cs="Times New Roman"/>
          <w:sz w:val="20"/>
          <w:szCs w:val="20"/>
        </w:rPr>
      </w:pPr>
    </w:p>
    <w:p w14:paraId="16CA7594" w14:textId="77777777" w:rsidR="003F30EA" w:rsidRPr="009871DC" w:rsidRDefault="003F30EA" w:rsidP="00094737">
      <w:pPr>
        <w:spacing w:after="0" w:line="240" w:lineRule="auto"/>
        <w:jc w:val="center"/>
        <w:rPr>
          <w:rFonts w:ascii="Bell MT" w:eastAsia="Times New Roman" w:hAnsi="Bell MT" w:cs="Times New Roman"/>
          <w:sz w:val="20"/>
          <w:szCs w:val="20"/>
        </w:rPr>
      </w:pPr>
    </w:p>
    <w:p w14:paraId="700D6443" w14:textId="77777777" w:rsidR="003F30EA" w:rsidRPr="009871DC" w:rsidRDefault="003F30EA" w:rsidP="00094737">
      <w:pPr>
        <w:spacing w:after="0" w:line="240" w:lineRule="auto"/>
        <w:jc w:val="center"/>
        <w:rPr>
          <w:rFonts w:ascii="Bell MT" w:eastAsia="Times New Roman" w:hAnsi="Bell MT" w:cs="Times New Roman"/>
          <w:sz w:val="20"/>
          <w:szCs w:val="20"/>
        </w:rPr>
      </w:pPr>
    </w:p>
    <w:p w14:paraId="4CCC52B4" w14:textId="77777777" w:rsidR="003F30EA" w:rsidRPr="009871DC" w:rsidRDefault="003F30EA" w:rsidP="00094737">
      <w:pPr>
        <w:spacing w:after="0" w:line="240" w:lineRule="auto"/>
        <w:jc w:val="center"/>
        <w:rPr>
          <w:rFonts w:ascii="Bell MT" w:eastAsia="Times New Roman" w:hAnsi="Bell MT" w:cs="Times New Roman"/>
          <w:sz w:val="20"/>
          <w:szCs w:val="20"/>
        </w:rPr>
      </w:pPr>
    </w:p>
    <w:p w14:paraId="558DA0AD" w14:textId="77777777" w:rsidR="003F30EA" w:rsidRPr="009871DC" w:rsidRDefault="003F30EA" w:rsidP="00094737">
      <w:pPr>
        <w:spacing w:after="0" w:line="240" w:lineRule="auto"/>
        <w:jc w:val="center"/>
        <w:rPr>
          <w:rFonts w:ascii="Bell MT" w:eastAsia="Times New Roman" w:hAnsi="Bell MT" w:cs="Times New Roman"/>
          <w:sz w:val="20"/>
          <w:szCs w:val="20"/>
        </w:rPr>
      </w:pPr>
    </w:p>
    <w:p w14:paraId="3559EC28" w14:textId="77777777" w:rsidR="003F30EA" w:rsidRPr="009871DC" w:rsidRDefault="003F30EA" w:rsidP="00094737">
      <w:pPr>
        <w:spacing w:after="0" w:line="240" w:lineRule="auto"/>
        <w:jc w:val="center"/>
        <w:rPr>
          <w:rFonts w:ascii="Bell MT" w:eastAsia="Times New Roman" w:hAnsi="Bell MT" w:cs="Times New Roman"/>
          <w:sz w:val="20"/>
          <w:szCs w:val="20"/>
        </w:rPr>
      </w:pPr>
    </w:p>
    <w:p w14:paraId="55C5962B" w14:textId="77777777" w:rsidR="003F30EA" w:rsidRPr="009871DC" w:rsidRDefault="003F30EA" w:rsidP="00094737">
      <w:pPr>
        <w:spacing w:after="0" w:line="240" w:lineRule="auto"/>
        <w:jc w:val="center"/>
        <w:rPr>
          <w:rFonts w:ascii="Bell MT" w:eastAsia="Times New Roman" w:hAnsi="Bell MT" w:cs="Times New Roman"/>
          <w:sz w:val="20"/>
          <w:szCs w:val="20"/>
        </w:rPr>
      </w:pPr>
    </w:p>
    <w:p w14:paraId="181ECF15" w14:textId="77777777" w:rsidR="003F30EA" w:rsidRPr="009871DC" w:rsidRDefault="003F30EA" w:rsidP="00094737">
      <w:pPr>
        <w:spacing w:after="0" w:line="240" w:lineRule="auto"/>
        <w:jc w:val="center"/>
        <w:rPr>
          <w:rFonts w:ascii="Calibri Light" w:hAnsi="Calibri Light"/>
          <w:bCs/>
          <w:sz w:val="24"/>
          <w:szCs w:val="24"/>
        </w:rPr>
      </w:pPr>
    </w:p>
    <w:p w14:paraId="70FB1BD6" w14:textId="77777777" w:rsidR="003F30EA" w:rsidRPr="009871DC" w:rsidRDefault="003F30EA" w:rsidP="00094737">
      <w:pPr>
        <w:spacing w:after="0" w:line="240" w:lineRule="auto"/>
        <w:jc w:val="center"/>
        <w:rPr>
          <w:rFonts w:ascii="Candara" w:hAnsi="Candara"/>
          <w:bCs/>
          <w:i/>
          <w:iCs/>
          <w:sz w:val="24"/>
          <w:szCs w:val="24"/>
        </w:rPr>
      </w:pPr>
      <w:r w:rsidRPr="009871DC">
        <w:rPr>
          <w:rFonts w:ascii="Candara" w:hAnsi="Candara"/>
          <w:bCs/>
          <w:sz w:val="24"/>
          <w:szCs w:val="24"/>
        </w:rPr>
        <w:t xml:space="preserve">A quarterly publication of the </w:t>
      </w:r>
      <w:r w:rsidRPr="009871DC">
        <w:rPr>
          <w:rFonts w:ascii="Candara" w:hAnsi="Candara"/>
          <w:bCs/>
          <w:i/>
          <w:iCs/>
          <w:sz w:val="24"/>
          <w:szCs w:val="24"/>
        </w:rPr>
        <w:t xml:space="preserve">Dictionary of African Christian Biography </w:t>
      </w:r>
      <w:r w:rsidRPr="009871DC">
        <w:rPr>
          <w:rFonts w:ascii="Candara" w:hAnsi="Candara"/>
          <w:bCs/>
          <w:sz w:val="24"/>
          <w:szCs w:val="24"/>
        </w:rPr>
        <w:t>(</w:t>
      </w:r>
      <w:hyperlink r:id="rId8" w:history="1">
        <w:r w:rsidRPr="009871DC">
          <w:rPr>
            <w:rStyle w:val="Hyperlink"/>
            <w:rFonts w:ascii="Candara" w:hAnsi="Candara"/>
            <w:bCs/>
            <w:color w:val="auto"/>
            <w:sz w:val="24"/>
            <w:szCs w:val="24"/>
          </w:rPr>
          <w:t>www.DACB.org</w:t>
        </w:r>
      </w:hyperlink>
      <w:r w:rsidRPr="009871DC">
        <w:rPr>
          <w:rFonts w:ascii="Candara" w:hAnsi="Candara"/>
          <w:bCs/>
          <w:sz w:val="24"/>
          <w:szCs w:val="24"/>
        </w:rPr>
        <w:t>)</w:t>
      </w:r>
    </w:p>
    <w:p w14:paraId="6C67DE52" w14:textId="77777777" w:rsidR="003F30EA" w:rsidRPr="009871DC" w:rsidRDefault="003F30EA" w:rsidP="00094737">
      <w:pPr>
        <w:spacing w:after="0" w:line="240" w:lineRule="auto"/>
        <w:jc w:val="center"/>
        <w:rPr>
          <w:rFonts w:ascii="Calibri Light" w:hAnsi="Calibri Light"/>
          <w:bCs/>
          <w:sz w:val="24"/>
          <w:szCs w:val="24"/>
        </w:rPr>
      </w:pPr>
    </w:p>
    <w:p w14:paraId="67C8DA1C" w14:textId="77777777" w:rsidR="003F30EA" w:rsidRPr="009871DC" w:rsidRDefault="003F30EA" w:rsidP="00094737">
      <w:pPr>
        <w:spacing w:after="0" w:line="240" w:lineRule="auto"/>
        <w:jc w:val="center"/>
        <w:rPr>
          <w:rFonts w:ascii="Calibri Light" w:hAnsi="Calibri Light"/>
          <w:bCs/>
          <w:sz w:val="24"/>
          <w:szCs w:val="24"/>
        </w:rPr>
      </w:pPr>
    </w:p>
    <w:p w14:paraId="1F645AC9" w14:textId="77777777" w:rsidR="003F30EA" w:rsidRPr="009871DC" w:rsidRDefault="003F30EA" w:rsidP="00094737">
      <w:pPr>
        <w:spacing w:after="0" w:line="240" w:lineRule="auto"/>
        <w:jc w:val="center"/>
        <w:rPr>
          <w:rFonts w:ascii="Calibri Light" w:hAnsi="Calibri Light"/>
          <w:bCs/>
          <w:sz w:val="24"/>
          <w:szCs w:val="24"/>
        </w:rPr>
      </w:pPr>
    </w:p>
    <w:p w14:paraId="67FB9919" w14:textId="77777777" w:rsidR="003F30EA" w:rsidRPr="009871DC" w:rsidRDefault="003F30EA" w:rsidP="00094737">
      <w:pPr>
        <w:spacing w:after="0" w:line="240" w:lineRule="auto"/>
        <w:rPr>
          <w:rFonts w:ascii="Calibri Light" w:hAnsi="Calibri Light"/>
          <w:bCs/>
          <w:sz w:val="24"/>
          <w:szCs w:val="24"/>
        </w:rPr>
      </w:pPr>
    </w:p>
    <w:p w14:paraId="3A2D4A3F" w14:textId="77777777" w:rsidR="003F30EA" w:rsidRPr="009871DC" w:rsidRDefault="003F30EA" w:rsidP="00094737">
      <w:pPr>
        <w:spacing w:after="0" w:line="240" w:lineRule="auto"/>
        <w:jc w:val="center"/>
        <w:rPr>
          <w:rFonts w:ascii="Calibri Light" w:hAnsi="Calibri Light"/>
          <w:bCs/>
          <w:sz w:val="24"/>
          <w:szCs w:val="24"/>
        </w:rPr>
      </w:pPr>
    </w:p>
    <w:p w14:paraId="76861785" w14:textId="77777777" w:rsidR="003F30EA" w:rsidRPr="009871DC" w:rsidRDefault="003F30EA" w:rsidP="00094737">
      <w:pPr>
        <w:spacing w:after="0" w:line="240" w:lineRule="auto"/>
        <w:jc w:val="center"/>
        <w:rPr>
          <w:rFonts w:ascii="Calibri Light" w:hAnsi="Calibri Light"/>
          <w:bCs/>
          <w:sz w:val="24"/>
          <w:szCs w:val="24"/>
        </w:rPr>
      </w:pPr>
    </w:p>
    <w:p w14:paraId="114131D8" w14:textId="77777777" w:rsidR="003F30EA" w:rsidRPr="009871DC" w:rsidRDefault="003F30EA" w:rsidP="00094737">
      <w:pPr>
        <w:spacing w:after="0" w:line="240" w:lineRule="auto"/>
        <w:jc w:val="center"/>
        <w:rPr>
          <w:rFonts w:ascii="Calibri Light" w:hAnsi="Calibri Light"/>
          <w:bCs/>
          <w:sz w:val="24"/>
          <w:szCs w:val="24"/>
        </w:rPr>
      </w:pPr>
    </w:p>
    <w:p w14:paraId="0D21EDEF" w14:textId="77777777" w:rsidR="003F30EA" w:rsidRPr="009871DC" w:rsidRDefault="003F30EA" w:rsidP="00094737">
      <w:pPr>
        <w:spacing w:after="0" w:line="240" w:lineRule="auto"/>
        <w:jc w:val="center"/>
        <w:rPr>
          <w:rFonts w:ascii="Calibri Light" w:hAnsi="Calibri Light"/>
          <w:bCs/>
          <w:sz w:val="24"/>
          <w:szCs w:val="24"/>
        </w:rPr>
      </w:pPr>
    </w:p>
    <w:p w14:paraId="69B1A1B8" w14:textId="77777777" w:rsidR="003F30EA" w:rsidRPr="009871DC" w:rsidRDefault="003F30EA" w:rsidP="00094737">
      <w:pPr>
        <w:spacing w:after="0" w:line="240" w:lineRule="auto"/>
        <w:jc w:val="center"/>
        <w:rPr>
          <w:rFonts w:ascii="Calibri Light" w:hAnsi="Calibri Light"/>
          <w:bCs/>
          <w:sz w:val="24"/>
          <w:szCs w:val="24"/>
        </w:rPr>
      </w:pPr>
    </w:p>
    <w:p w14:paraId="5E95FD03" w14:textId="77777777" w:rsidR="003F30EA" w:rsidRPr="009871DC" w:rsidRDefault="003F30EA" w:rsidP="00094737">
      <w:pPr>
        <w:spacing w:after="0" w:line="240" w:lineRule="auto"/>
        <w:jc w:val="center"/>
        <w:rPr>
          <w:rFonts w:ascii="Calibri Light" w:hAnsi="Calibri Light"/>
          <w:bCs/>
        </w:rPr>
      </w:pPr>
    </w:p>
    <w:p w14:paraId="3B184EE1" w14:textId="77777777" w:rsidR="003F30EA" w:rsidRPr="009871DC" w:rsidRDefault="003F30EA" w:rsidP="00094737">
      <w:pPr>
        <w:spacing w:after="0" w:line="240" w:lineRule="auto"/>
        <w:jc w:val="center"/>
        <w:rPr>
          <w:rFonts w:ascii="Calibri Light" w:hAnsi="Calibri Ligh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4219"/>
        <w:gridCol w:w="1147"/>
      </w:tblGrid>
      <w:tr w:rsidR="003F30EA" w:rsidRPr="009871DC" w14:paraId="1D2C920F" w14:textId="77777777" w:rsidTr="003123F5">
        <w:tc>
          <w:tcPr>
            <w:tcW w:w="816" w:type="dxa"/>
          </w:tcPr>
          <w:p w14:paraId="2E96F212" w14:textId="77777777" w:rsidR="003F30EA" w:rsidRPr="009871DC" w:rsidRDefault="003F30EA" w:rsidP="00094737">
            <w:pPr>
              <w:spacing w:after="0" w:line="240" w:lineRule="auto"/>
              <w:jc w:val="center"/>
              <w:rPr>
                <w:rFonts w:ascii="Calibri Light" w:hAnsi="Calibri Light"/>
                <w:bCs/>
                <w:sz w:val="24"/>
                <w:szCs w:val="24"/>
              </w:rPr>
            </w:pPr>
            <w:r w:rsidRPr="009871DC">
              <w:rPr>
                <w:rFonts w:ascii="Calibri Light" w:hAnsi="Calibri Light"/>
                <w:bCs/>
                <w:noProof/>
                <w:sz w:val="24"/>
                <w:szCs w:val="24"/>
              </w:rPr>
              <w:drawing>
                <wp:inline distT="0" distB="0" distL="0" distR="0" wp14:anchorId="7604DA51" wp14:editId="333848F7">
                  <wp:extent cx="378573" cy="421951"/>
                  <wp:effectExtent l="0" t="0" r="254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1033" cy="435838"/>
                          </a:xfrm>
                          <a:prstGeom prst="rect">
                            <a:avLst/>
                          </a:prstGeom>
                        </pic:spPr>
                      </pic:pic>
                    </a:graphicData>
                  </a:graphic>
                </wp:inline>
              </w:drawing>
            </w:r>
          </w:p>
        </w:tc>
        <w:tc>
          <w:tcPr>
            <w:tcW w:w="4219" w:type="dxa"/>
          </w:tcPr>
          <w:p w14:paraId="6FD15854" w14:textId="118C079D" w:rsidR="003F30EA" w:rsidRPr="009871DC" w:rsidRDefault="003F30EA" w:rsidP="00094737">
            <w:pPr>
              <w:spacing w:after="0" w:line="240" w:lineRule="auto"/>
              <w:jc w:val="center"/>
              <w:rPr>
                <w:rFonts w:ascii="Perpetua" w:hAnsi="Perpetua"/>
                <w:bCs/>
                <w:iCs/>
                <w:sz w:val="18"/>
                <w:szCs w:val="18"/>
              </w:rPr>
            </w:pPr>
            <w:r w:rsidRPr="009871DC">
              <w:rPr>
                <w:rFonts w:ascii="Perpetua" w:hAnsi="Perpetua"/>
                <w:bCs/>
                <w:sz w:val="18"/>
                <w:szCs w:val="18"/>
              </w:rPr>
              <w:t>©202</w:t>
            </w:r>
            <w:r w:rsidR="006E0C18">
              <w:rPr>
                <w:rFonts w:ascii="Perpetua" w:hAnsi="Perpetua"/>
                <w:bCs/>
                <w:sz w:val="18"/>
                <w:szCs w:val="18"/>
              </w:rPr>
              <w:t>4</w:t>
            </w:r>
            <w:r w:rsidRPr="009871DC">
              <w:rPr>
                <w:rFonts w:ascii="Perpetua" w:hAnsi="Perpetua"/>
                <w:bCs/>
                <w:sz w:val="18"/>
                <w:szCs w:val="18"/>
              </w:rPr>
              <w:t xml:space="preserve"> </w:t>
            </w:r>
            <w:r w:rsidRPr="009871DC">
              <w:rPr>
                <w:rFonts w:ascii="Perpetua" w:hAnsi="Perpetua"/>
                <w:bCs/>
                <w:i/>
                <w:sz w:val="18"/>
                <w:szCs w:val="18"/>
              </w:rPr>
              <w:t xml:space="preserve">Dictionary of African Christian Biography </w:t>
            </w:r>
          </w:p>
          <w:p w14:paraId="4D368CC5" w14:textId="77777777" w:rsidR="003F30EA" w:rsidRPr="009871DC" w:rsidRDefault="003F30EA" w:rsidP="00094737">
            <w:pPr>
              <w:spacing w:after="0" w:line="240" w:lineRule="auto"/>
              <w:jc w:val="center"/>
              <w:rPr>
                <w:rFonts w:ascii="Calibri Light" w:hAnsi="Calibri Light"/>
                <w:bCs/>
                <w:iCs/>
                <w:sz w:val="16"/>
                <w:szCs w:val="16"/>
              </w:rPr>
            </w:pPr>
            <w:r w:rsidRPr="009871DC">
              <w:rPr>
                <w:rFonts w:ascii="Perpetua" w:hAnsi="Perpetua"/>
                <w:bCs/>
                <w:sz w:val="16"/>
                <w:szCs w:val="16"/>
              </w:rPr>
              <w:t>The DACB is a digital project of the Boston University Center for Global Christianity and Mission</w:t>
            </w:r>
          </w:p>
        </w:tc>
        <w:tc>
          <w:tcPr>
            <w:tcW w:w="1147" w:type="dxa"/>
          </w:tcPr>
          <w:p w14:paraId="40C33DF4" w14:textId="77777777" w:rsidR="003F30EA" w:rsidRPr="009871DC" w:rsidRDefault="003F30EA" w:rsidP="00094737">
            <w:pPr>
              <w:spacing w:after="0" w:line="240" w:lineRule="auto"/>
              <w:jc w:val="center"/>
              <w:rPr>
                <w:rFonts w:ascii="Calibri Light" w:hAnsi="Calibri Light"/>
                <w:bCs/>
                <w:sz w:val="24"/>
                <w:szCs w:val="24"/>
              </w:rPr>
            </w:pPr>
            <w:r w:rsidRPr="009871DC">
              <w:rPr>
                <w:rFonts w:ascii="Calibri Light" w:hAnsi="Calibri Light"/>
                <w:bCs/>
                <w:noProof/>
                <w:sz w:val="24"/>
                <w:szCs w:val="24"/>
              </w:rPr>
              <w:drawing>
                <wp:inline distT="0" distB="0" distL="0" distR="0" wp14:anchorId="1154092B" wp14:editId="5FF07D80">
                  <wp:extent cx="582420" cy="425167"/>
                  <wp:effectExtent l="0" t="0" r="8255" b="0"/>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5944" cy="435039"/>
                          </a:xfrm>
                          <a:prstGeom prst="rect">
                            <a:avLst/>
                          </a:prstGeom>
                        </pic:spPr>
                      </pic:pic>
                    </a:graphicData>
                  </a:graphic>
                </wp:inline>
              </w:drawing>
            </w:r>
          </w:p>
        </w:tc>
      </w:tr>
    </w:tbl>
    <w:p w14:paraId="51EC09D0" w14:textId="77777777" w:rsidR="003F30EA" w:rsidRPr="009871DC" w:rsidRDefault="003F30EA" w:rsidP="00094737">
      <w:pPr>
        <w:spacing w:after="0" w:line="240" w:lineRule="auto"/>
        <w:jc w:val="center"/>
        <w:rPr>
          <w:rFonts w:ascii="Calibri Light" w:hAnsi="Calibri Light"/>
          <w:bCs/>
          <w:sz w:val="24"/>
          <w:szCs w:val="24"/>
        </w:rPr>
      </w:pPr>
    </w:p>
    <w:p w14:paraId="67414B86" w14:textId="77777777" w:rsidR="003F30EA" w:rsidRPr="009871DC" w:rsidRDefault="003F30EA" w:rsidP="00094737">
      <w:pPr>
        <w:spacing w:after="0" w:line="240" w:lineRule="auto"/>
        <w:jc w:val="center"/>
      </w:pPr>
      <w:r w:rsidRPr="009871DC">
        <w:rPr>
          <w:noProof/>
        </w:rPr>
        <w:drawing>
          <wp:inline distT="0" distB="0" distL="0" distR="0" wp14:anchorId="280B9143" wp14:editId="5ED0712F">
            <wp:extent cx="3931920" cy="304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31920" cy="30416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6182"/>
      </w:tblGrid>
      <w:tr w:rsidR="003F30EA" w:rsidRPr="009871DC" w14:paraId="5A936A25" w14:textId="77777777" w:rsidTr="003123F5">
        <w:tc>
          <w:tcPr>
            <w:tcW w:w="6182" w:type="dxa"/>
          </w:tcPr>
          <w:p w14:paraId="4EFB4126" w14:textId="77777777" w:rsidR="003F30EA" w:rsidRPr="009871DC" w:rsidRDefault="003F30EA" w:rsidP="00094737">
            <w:pPr>
              <w:spacing w:after="0" w:line="240" w:lineRule="auto"/>
              <w:jc w:val="center"/>
              <w:rPr>
                <w:rFonts w:ascii="Lithos Pro Regular" w:eastAsia="Times New Roman" w:hAnsi="Lithos Pro Regular" w:cs="Times New Roman"/>
                <w:b/>
                <w:iCs/>
                <w:sz w:val="18"/>
                <w:szCs w:val="18"/>
                <w:lang w:val="en-CA"/>
              </w:rPr>
            </w:pPr>
          </w:p>
          <w:p w14:paraId="17FF371C" w14:textId="77777777" w:rsidR="003F30EA" w:rsidRPr="009871DC" w:rsidRDefault="003F30EA" w:rsidP="00094737">
            <w:pPr>
              <w:spacing w:after="0" w:line="240" w:lineRule="auto"/>
              <w:jc w:val="center"/>
              <w:rPr>
                <w:bCs/>
              </w:rPr>
            </w:pPr>
            <w:r w:rsidRPr="009871DC">
              <w:rPr>
                <w:rFonts w:ascii="Lithos Pro Regular" w:eastAsia="Times New Roman" w:hAnsi="Lithos Pro Regular" w:cs="Times New Roman"/>
                <w:bCs/>
                <w:iCs/>
                <w:lang w:val="en-CA"/>
              </w:rPr>
              <w:t>Journal of African Christian Biography</w:t>
            </w:r>
          </w:p>
          <w:p w14:paraId="34F1DAA8" w14:textId="77777777" w:rsidR="003F30EA" w:rsidRPr="009871DC" w:rsidRDefault="003F30EA" w:rsidP="00094737">
            <w:pPr>
              <w:spacing w:after="0" w:line="240" w:lineRule="auto"/>
            </w:pPr>
          </w:p>
          <w:p w14:paraId="3D5E1C53" w14:textId="77777777" w:rsidR="003F30EA" w:rsidRPr="009871DC" w:rsidRDefault="003F30EA" w:rsidP="00094737">
            <w:pPr>
              <w:spacing w:after="0" w:line="240" w:lineRule="auto"/>
              <w:jc w:val="both"/>
              <w:rPr>
                <w:rFonts w:ascii="Perpetua" w:eastAsia="Times New Roman" w:hAnsi="Perpetua" w:cs="Times New Roman"/>
                <w:sz w:val="18"/>
                <w:szCs w:val="18"/>
              </w:rPr>
            </w:pPr>
            <w:r w:rsidRPr="009871DC">
              <w:rPr>
                <w:rFonts w:ascii="Perpetua" w:eastAsia="Times New Roman" w:hAnsi="Perpetua" w:cs="Times New Roman"/>
                <w:sz w:val="18"/>
                <w:szCs w:val="18"/>
              </w:rPr>
              <w:t xml:space="preserve">The </w:t>
            </w:r>
            <w:r w:rsidRPr="009871DC">
              <w:rPr>
                <w:rFonts w:ascii="Perpetua" w:eastAsia="Times New Roman" w:hAnsi="Perpetua" w:cs="Times New Roman"/>
                <w:i/>
                <w:iCs/>
                <w:sz w:val="18"/>
                <w:szCs w:val="18"/>
              </w:rPr>
              <w:t xml:space="preserve">Journal of African Christian Biography </w:t>
            </w:r>
            <w:r w:rsidRPr="009871DC">
              <w:rPr>
                <w:rFonts w:ascii="Perpetua" w:eastAsia="Times New Roman" w:hAnsi="Perpetua" w:cs="Times New Roman"/>
                <w:sz w:val="18"/>
                <w:szCs w:val="18"/>
              </w:rPr>
              <w:t>(JACB) publishes research on biographies of African Christians. The primary focus is on the role of local agents in the spread of Christianity in Africa. The JACB is an open access publication committed to facilitating global conversations among scholars across cultures, nations, Christian traditions, and academic specializations, with particular emphasis on Africa. We invite contributions from individuals affiliated with religious and educational institutions in Africa and elsewhere.</w:t>
            </w:r>
          </w:p>
          <w:p w14:paraId="5E7165F5" w14:textId="77777777" w:rsidR="003F30EA" w:rsidRPr="009871DC" w:rsidRDefault="003F30EA" w:rsidP="00094737">
            <w:pPr>
              <w:spacing w:after="0" w:line="240" w:lineRule="auto"/>
              <w:jc w:val="both"/>
              <w:rPr>
                <w:rFonts w:ascii="Perpetua" w:eastAsia="Times New Roman" w:hAnsi="Perpetua" w:cs="Times New Roman"/>
                <w:sz w:val="18"/>
                <w:szCs w:val="18"/>
              </w:rPr>
            </w:pPr>
          </w:p>
          <w:p w14:paraId="3F613E9F" w14:textId="77777777" w:rsidR="003F30EA" w:rsidRPr="009871DC" w:rsidRDefault="003F30EA" w:rsidP="00094737">
            <w:pPr>
              <w:spacing w:after="0" w:line="240" w:lineRule="auto"/>
              <w:jc w:val="both"/>
              <w:rPr>
                <w:rFonts w:ascii="Perpetua" w:eastAsia="Times New Roman" w:hAnsi="Perpetua" w:cs="Times New Roman"/>
                <w:sz w:val="18"/>
                <w:szCs w:val="18"/>
                <w:lang w:val="en-CA"/>
              </w:rPr>
            </w:pPr>
            <w:r w:rsidRPr="009871DC">
              <w:rPr>
                <w:rFonts w:ascii="Perpetua" w:eastAsia="Times New Roman" w:hAnsi="Perpetua" w:cs="Times New Roman"/>
                <w:sz w:val="18"/>
                <w:szCs w:val="18"/>
                <w:lang w:val="en-CA"/>
              </w:rPr>
              <w:t xml:space="preserve">    CONTENT includes:</w:t>
            </w:r>
          </w:p>
          <w:p w14:paraId="10AC32B4" w14:textId="77777777" w:rsidR="003F30EA" w:rsidRPr="009871DC" w:rsidRDefault="003F30EA" w:rsidP="00094737">
            <w:pPr>
              <w:pStyle w:val="ListParagraph"/>
              <w:numPr>
                <w:ilvl w:val="0"/>
                <w:numId w:val="1"/>
              </w:numPr>
              <w:spacing w:after="0" w:line="240" w:lineRule="auto"/>
              <w:jc w:val="both"/>
              <w:rPr>
                <w:rFonts w:ascii="Perpetua" w:eastAsia="Times New Roman" w:hAnsi="Perpetua" w:cs="Times New Roman"/>
                <w:sz w:val="18"/>
                <w:szCs w:val="18"/>
                <w:lang w:val="en-CA"/>
              </w:rPr>
            </w:pPr>
            <w:r w:rsidRPr="009871DC">
              <w:rPr>
                <w:rFonts w:ascii="Perpetua" w:eastAsia="Times New Roman" w:hAnsi="Perpetua" w:cs="Times New Roman"/>
                <w:sz w:val="18"/>
                <w:szCs w:val="18"/>
                <w:lang w:val="en-CA"/>
              </w:rPr>
              <w:t xml:space="preserve">Original biographies and African Christian histories </w:t>
            </w:r>
          </w:p>
          <w:p w14:paraId="3921EE2B" w14:textId="77777777" w:rsidR="003F30EA" w:rsidRPr="009871DC" w:rsidRDefault="003F30EA" w:rsidP="00094737">
            <w:pPr>
              <w:pStyle w:val="ListParagraph"/>
              <w:numPr>
                <w:ilvl w:val="0"/>
                <w:numId w:val="1"/>
              </w:numPr>
              <w:spacing w:after="0" w:line="240" w:lineRule="auto"/>
              <w:jc w:val="both"/>
              <w:rPr>
                <w:rFonts w:ascii="Perpetua" w:eastAsia="Times New Roman" w:hAnsi="Perpetua" w:cs="Times New Roman"/>
                <w:sz w:val="18"/>
                <w:szCs w:val="18"/>
                <w:lang w:val="en-CA"/>
              </w:rPr>
            </w:pPr>
            <w:r w:rsidRPr="009871DC">
              <w:rPr>
                <w:rFonts w:ascii="Perpetua" w:eastAsia="Times New Roman" w:hAnsi="Perpetua" w:cs="Times New Roman"/>
                <w:sz w:val="18"/>
                <w:szCs w:val="18"/>
                <w:lang w:val="en-CA"/>
              </w:rPr>
              <w:t xml:space="preserve">Biographies highlighted from the DACB website </w:t>
            </w:r>
          </w:p>
          <w:p w14:paraId="65BACC19" w14:textId="77777777" w:rsidR="003F30EA" w:rsidRPr="009871DC" w:rsidRDefault="003F30EA" w:rsidP="00094737">
            <w:pPr>
              <w:pStyle w:val="ListParagraph"/>
              <w:numPr>
                <w:ilvl w:val="0"/>
                <w:numId w:val="1"/>
              </w:numPr>
              <w:spacing w:after="0" w:line="240" w:lineRule="auto"/>
              <w:jc w:val="both"/>
              <w:rPr>
                <w:rFonts w:ascii="Perpetua" w:eastAsia="Times New Roman" w:hAnsi="Perpetua" w:cs="Times New Roman"/>
                <w:sz w:val="18"/>
                <w:szCs w:val="18"/>
                <w:lang w:val="en-CA"/>
              </w:rPr>
            </w:pPr>
            <w:r w:rsidRPr="009871DC">
              <w:rPr>
                <w:rFonts w:ascii="Perpetua" w:eastAsia="Times New Roman" w:hAnsi="Perpetua" w:cs="Times New Roman"/>
                <w:sz w:val="18"/>
                <w:szCs w:val="18"/>
                <w:lang w:val="en-CA"/>
              </w:rPr>
              <w:t>Obituaries and tributes about recently deceased figures</w:t>
            </w:r>
          </w:p>
          <w:p w14:paraId="4A34CB2D" w14:textId="77777777" w:rsidR="003F30EA" w:rsidRPr="009871DC" w:rsidRDefault="003F30EA" w:rsidP="00094737">
            <w:pPr>
              <w:pStyle w:val="ListParagraph"/>
              <w:numPr>
                <w:ilvl w:val="0"/>
                <w:numId w:val="1"/>
              </w:numPr>
              <w:spacing w:after="0" w:line="240" w:lineRule="auto"/>
              <w:jc w:val="both"/>
              <w:rPr>
                <w:rFonts w:ascii="Perpetua" w:eastAsia="Times New Roman" w:hAnsi="Perpetua" w:cs="Times New Roman"/>
                <w:sz w:val="18"/>
                <w:szCs w:val="18"/>
                <w:lang w:val="en-CA"/>
              </w:rPr>
            </w:pPr>
            <w:r w:rsidRPr="009871DC">
              <w:rPr>
                <w:rFonts w:ascii="Perpetua" w:eastAsia="Times New Roman" w:hAnsi="Perpetua" w:cs="Times New Roman"/>
                <w:sz w:val="18"/>
                <w:szCs w:val="18"/>
                <w:lang w:val="en-CA"/>
              </w:rPr>
              <w:t>Excerpts of recently published scholarship</w:t>
            </w:r>
          </w:p>
          <w:p w14:paraId="66634CFF" w14:textId="77777777" w:rsidR="003F30EA" w:rsidRPr="009871DC" w:rsidRDefault="003F30EA" w:rsidP="00094737">
            <w:pPr>
              <w:pStyle w:val="ListParagraph"/>
              <w:numPr>
                <w:ilvl w:val="0"/>
                <w:numId w:val="1"/>
              </w:numPr>
              <w:spacing w:after="0" w:line="240" w:lineRule="auto"/>
              <w:jc w:val="both"/>
              <w:rPr>
                <w:rFonts w:ascii="Perpetua" w:eastAsia="Times New Roman" w:hAnsi="Perpetua" w:cs="Times New Roman"/>
                <w:sz w:val="18"/>
                <w:szCs w:val="18"/>
                <w:lang w:val="en-CA"/>
              </w:rPr>
            </w:pPr>
            <w:r w:rsidRPr="009871DC">
              <w:rPr>
                <w:rFonts w:ascii="Perpetua" w:eastAsia="Times New Roman" w:hAnsi="Perpetua" w:cs="Times New Roman"/>
                <w:sz w:val="18"/>
                <w:szCs w:val="18"/>
                <w:lang w:val="en-CA"/>
              </w:rPr>
              <w:t>Interviews with select African church leaders and scholars (still living)</w:t>
            </w:r>
          </w:p>
          <w:p w14:paraId="0A8DAFB4" w14:textId="77777777" w:rsidR="003F30EA" w:rsidRPr="009871DC" w:rsidRDefault="003F30EA" w:rsidP="00094737">
            <w:pPr>
              <w:pStyle w:val="ListParagraph"/>
              <w:numPr>
                <w:ilvl w:val="0"/>
                <w:numId w:val="1"/>
              </w:numPr>
              <w:spacing w:after="0" w:line="240" w:lineRule="auto"/>
              <w:jc w:val="both"/>
              <w:rPr>
                <w:rFonts w:ascii="Perpetua" w:eastAsia="Times New Roman" w:hAnsi="Perpetua" w:cs="Times New Roman"/>
                <w:sz w:val="18"/>
                <w:szCs w:val="18"/>
                <w:lang w:val="en-CA"/>
              </w:rPr>
            </w:pPr>
            <w:r w:rsidRPr="009871DC">
              <w:rPr>
                <w:rFonts w:ascii="Perpetua" w:eastAsia="Times New Roman" w:hAnsi="Perpetua" w:cs="Times New Roman"/>
                <w:sz w:val="18"/>
                <w:szCs w:val="18"/>
                <w:lang w:val="en-CA"/>
              </w:rPr>
              <w:t xml:space="preserve">Resources for teaching with biography </w:t>
            </w:r>
          </w:p>
          <w:p w14:paraId="789A306E" w14:textId="77777777" w:rsidR="003F30EA" w:rsidRPr="009871DC" w:rsidRDefault="003F30EA" w:rsidP="00094737">
            <w:pPr>
              <w:pStyle w:val="ListParagraph"/>
              <w:numPr>
                <w:ilvl w:val="0"/>
                <w:numId w:val="1"/>
              </w:numPr>
              <w:spacing w:after="0" w:line="240" w:lineRule="auto"/>
              <w:jc w:val="both"/>
              <w:rPr>
                <w:rFonts w:ascii="Perpetua" w:eastAsia="Times New Roman" w:hAnsi="Perpetua" w:cs="Times New Roman"/>
                <w:sz w:val="18"/>
                <w:szCs w:val="18"/>
                <w:lang w:val="en-CA"/>
              </w:rPr>
            </w:pPr>
            <w:r w:rsidRPr="009871DC">
              <w:rPr>
                <w:rFonts w:ascii="Perpetua" w:eastAsia="Times New Roman" w:hAnsi="Perpetua" w:cs="Times New Roman"/>
                <w:sz w:val="18"/>
                <w:szCs w:val="18"/>
                <w:lang w:val="en-CA"/>
              </w:rPr>
              <w:t>Reviews of scholarship on African Christian biography and history</w:t>
            </w:r>
          </w:p>
          <w:p w14:paraId="4E40D3F6" w14:textId="77777777" w:rsidR="003F30EA" w:rsidRPr="009871DC" w:rsidRDefault="003F30EA" w:rsidP="00094737">
            <w:pPr>
              <w:spacing w:after="0" w:line="240" w:lineRule="auto"/>
              <w:jc w:val="both"/>
              <w:rPr>
                <w:rFonts w:ascii="Perpetua" w:eastAsia="Times New Roman" w:hAnsi="Perpetua" w:cs="Times New Roman"/>
                <w:sz w:val="18"/>
                <w:szCs w:val="18"/>
                <w:lang w:val="en-CA"/>
              </w:rPr>
            </w:pPr>
          </w:p>
          <w:p w14:paraId="281062B4" w14:textId="77777777" w:rsidR="003F30EA" w:rsidRPr="009871DC" w:rsidRDefault="003F30EA" w:rsidP="00094737">
            <w:pPr>
              <w:spacing w:after="0" w:line="240" w:lineRule="auto"/>
              <w:jc w:val="both"/>
              <w:rPr>
                <w:rFonts w:ascii="Perpetua" w:eastAsia="Times New Roman" w:hAnsi="Perpetua" w:cs="Times New Roman"/>
                <w:sz w:val="18"/>
                <w:szCs w:val="18"/>
              </w:rPr>
            </w:pPr>
            <w:r w:rsidRPr="009871DC">
              <w:rPr>
                <w:rFonts w:ascii="Perpetua" w:eastAsia="Times New Roman" w:hAnsi="Perpetua" w:cs="Times New Roman"/>
                <w:sz w:val="18"/>
                <w:szCs w:val="18"/>
                <w:lang w:val="en-CA"/>
              </w:rPr>
              <w:t>SUBMISSIONS: Please d</w:t>
            </w:r>
            <w:r w:rsidRPr="009871DC">
              <w:rPr>
                <w:rFonts w:ascii="Perpetua" w:eastAsia="Times New Roman" w:hAnsi="Perpetua" w:cs="Times New Roman"/>
                <w:sz w:val="18"/>
                <w:szCs w:val="18"/>
              </w:rPr>
              <w:t xml:space="preserve">irect all inquiries regarding submissions and advertising to the editor at </w:t>
            </w:r>
            <w:hyperlink r:id="rId12" w:history="1">
              <w:r w:rsidRPr="009871DC">
                <w:rPr>
                  <w:rStyle w:val="Hyperlink"/>
                  <w:rFonts w:ascii="Perpetua" w:eastAsia="Times New Roman" w:hAnsi="Perpetua" w:cs="Times New Roman"/>
                  <w:b/>
                  <w:bCs/>
                  <w:color w:val="auto"/>
                  <w:sz w:val="18"/>
                  <w:szCs w:val="18"/>
                </w:rPr>
                <w:t>dacb@bu.edu</w:t>
              </w:r>
            </w:hyperlink>
            <w:r w:rsidRPr="009871DC">
              <w:rPr>
                <w:rFonts w:ascii="Perpetua" w:eastAsia="Times New Roman" w:hAnsi="Perpetua" w:cs="Times New Roman"/>
                <w:sz w:val="18"/>
                <w:szCs w:val="18"/>
              </w:rPr>
              <w:t xml:space="preserve">. Refer to the </w:t>
            </w:r>
            <w:r w:rsidRPr="009871DC">
              <w:rPr>
                <w:rFonts w:ascii="Perpetua" w:eastAsia="Times New Roman" w:hAnsi="Perpetua" w:cs="Times New Roman"/>
                <w:i/>
                <w:iCs/>
                <w:sz w:val="18"/>
                <w:szCs w:val="18"/>
              </w:rPr>
              <w:t xml:space="preserve">Instructional Manual for Writers </w:t>
            </w:r>
            <w:r w:rsidRPr="009871DC">
              <w:rPr>
                <w:rFonts w:ascii="Perpetua" w:eastAsia="Times New Roman" w:hAnsi="Perpetua" w:cs="Times New Roman"/>
                <w:sz w:val="18"/>
                <w:szCs w:val="18"/>
              </w:rPr>
              <w:t xml:space="preserve">for guidelines and formatting: </w:t>
            </w:r>
            <w:hyperlink r:id="rId13" w:history="1">
              <w:r w:rsidRPr="009871DC">
                <w:rPr>
                  <w:rStyle w:val="Hyperlink"/>
                  <w:rFonts w:ascii="Perpetua" w:eastAsia="Times New Roman" w:hAnsi="Perpetua" w:cs="Times New Roman"/>
                  <w:color w:val="auto"/>
                  <w:sz w:val="18"/>
                  <w:szCs w:val="18"/>
                </w:rPr>
                <w:t>https://dacb.org/resources/final_instr_manual.pdf</w:t>
              </w:r>
            </w:hyperlink>
            <w:r w:rsidRPr="009871DC">
              <w:rPr>
                <w:rFonts w:ascii="Perpetua" w:eastAsia="Times New Roman" w:hAnsi="Perpetua" w:cs="Times New Roman"/>
                <w:sz w:val="18"/>
                <w:szCs w:val="18"/>
              </w:rPr>
              <w:t xml:space="preserve">. </w:t>
            </w:r>
          </w:p>
          <w:p w14:paraId="17A7612B" w14:textId="77777777" w:rsidR="003F30EA" w:rsidRPr="009871DC" w:rsidRDefault="003F30EA" w:rsidP="00094737">
            <w:pPr>
              <w:spacing w:after="0" w:line="240" w:lineRule="auto"/>
              <w:jc w:val="both"/>
              <w:rPr>
                <w:rFonts w:ascii="Perpetua" w:eastAsia="Times New Roman" w:hAnsi="Perpetua" w:cs="Times New Roman"/>
                <w:sz w:val="18"/>
                <w:szCs w:val="18"/>
              </w:rPr>
            </w:pPr>
          </w:p>
          <w:p w14:paraId="0B4776EE" w14:textId="77777777" w:rsidR="003F30EA" w:rsidRPr="009871DC" w:rsidRDefault="003F30EA" w:rsidP="00094737">
            <w:pPr>
              <w:spacing w:after="0" w:line="240" w:lineRule="auto"/>
              <w:jc w:val="both"/>
              <w:rPr>
                <w:rFonts w:ascii="Perpetua" w:eastAsia="Times New Roman" w:hAnsi="Perpetua" w:cs="Times New Roman"/>
                <w:b/>
                <w:sz w:val="18"/>
                <w:szCs w:val="18"/>
                <w:lang w:val="en"/>
              </w:rPr>
            </w:pPr>
            <w:r w:rsidRPr="009871DC">
              <w:rPr>
                <w:rFonts w:ascii="Perpetua" w:eastAsia="Times New Roman" w:hAnsi="Perpetua" w:cs="Times New Roman"/>
                <w:sz w:val="18"/>
                <w:szCs w:val="18"/>
                <w:lang w:val="en"/>
              </w:rPr>
              <w:t xml:space="preserve">FREE SUBSCRIPTIONS: Sign up at </w:t>
            </w:r>
            <w:hyperlink r:id="rId14" w:history="1">
              <w:r w:rsidRPr="009871DC">
                <w:rPr>
                  <w:rStyle w:val="Hyperlink"/>
                  <w:rFonts w:ascii="Perpetua" w:eastAsia="Times New Roman" w:hAnsi="Perpetua" w:cs="Times New Roman"/>
                  <w:b/>
                  <w:color w:val="auto"/>
                  <w:sz w:val="18"/>
                  <w:szCs w:val="18"/>
                  <w:lang w:val="en"/>
                </w:rPr>
                <w:t>www.dacb.org/journal/</w:t>
              </w:r>
            </w:hyperlink>
          </w:p>
          <w:p w14:paraId="4BEC4E12" w14:textId="77777777" w:rsidR="00B77118" w:rsidRDefault="003F30EA" w:rsidP="00094737">
            <w:pPr>
              <w:spacing w:after="0" w:line="240" w:lineRule="auto"/>
              <w:jc w:val="both"/>
              <w:rPr>
                <w:rFonts w:ascii="Perpetua" w:eastAsia="Times New Roman" w:hAnsi="Perpetua" w:cs="Times New Roman"/>
                <w:sz w:val="18"/>
                <w:szCs w:val="18"/>
                <w:lang w:val="en-CA"/>
              </w:rPr>
            </w:pPr>
            <w:r w:rsidRPr="009871DC">
              <w:rPr>
                <w:rFonts w:ascii="Perpetua" w:eastAsia="Times New Roman" w:hAnsi="Perpetua" w:cs="Times New Roman"/>
                <w:sz w:val="18"/>
                <w:szCs w:val="18"/>
                <w:lang w:val="en-CA"/>
              </w:rPr>
              <w:t xml:space="preserve">ADDRESS: The office of the </w:t>
            </w:r>
            <w:r w:rsidRPr="009871DC">
              <w:rPr>
                <w:rFonts w:ascii="Perpetua" w:eastAsia="Times New Roman" w:hAnsi="Perpetua" w:cs="Times New Roman"/>
                <w:i/>
                <w:sz w:val="18"/>
                <w:szCs w:val="18"/>
                <w:lang w:val="en-CA"/>
              </w:rPr>
              <w:t>Journal of African Christian Biography</w:t>
            </w:r>
            <w:r w:rsidRPr="009871DC">
              <w:rPr>
                <w:rFonts w:ascii="Perpetua" w:eastAsia="Times New Roman" w:hAnsi="Perpetua" w:cs="Times New Roman"/>
                <w:sz w:val="18"/>
                <w:szCs w:val="18"/>
                <w:lang w:val="en-CA"/>
              </w:rPr>
              <w:t xml:space="preserve"> is located at</w:t>
            </w:r>
            <w:r w:rsidRPr="009871DC">
              <w:rPr>
                <w:rFonts w:ascii="Perpetua" w:eastAsia="Times New Roman" w:hAnsi="Perpetua" w:cs="Times New Roman"/>
                <w:i/>
                <w:sz w:val="18"/>
                <w:szCs w:val="18"/>
                <w:lang w:val="en-CA"/>
              </w:rPr>
              <w:t xml:space="preserve"> </w:t>
            </w:r>
            <w:r w:rsidRPr="009871DC">
              <w:rPr>
                <w:rFonts w:ascii="Perpetua" w:eastAsia="Times New Roman" w:hAnsi="Perpetua" w:cs="Times New Roman"/>
                <w:sz w:val="18"/>
                <w:szCs w:val="18"/>
                <w:lang w:val="en-CA"/>
              </w:rPr>
              <w:t xml:space="preserve">the </w:t>
            </w:r>
          </w:p>
          <w:p w14:paraId="514540C0" w14:textId="77777777" w:rsidR="00B77118" w:rsidRDefault="00B77118" w:rsidP="00094737">
            <w:pPr>
              <w:spacing w:after="0" w:line="240" w:lineRule="auto"/>
              <w:jc w:val="both"/>
              <w:rPr>
                <w:rFonts w:ascii="Perpetua" w:eastAsia="Times New Roman" w:hAnsi="Perpetua" w:cs="Times New Roman"/>
                <w:sz w:val="18"/>
                <w:szCs w:val="18"/>
                <w:lang w:val="en-CA"/>
              </w:rPr>
            </w:pPr>
            <w:r w:rsidRPr="009871DC">
              <w:rPr>
                <w:rFonts w:ascii="Perpetua" w:eastAsia="Times New Roman" w:hAnsi="Perpetua" w:cs="Times New Roman"/>
                <w:sz w:val="18"/>
                <w:szCs w:val="18"/>
                <w:lang w:val="en-CA"/>
              </w:rPr>
              <w:t xml:space="preserve">Center for Global Christianity and Mission </w:t>
            </w:r>
          </w:p>
          <w:p w14:paraId="68D1DC4B" w14:textId="77777777" w:rsidR="00B77118" w:rsidRDefault="00B77118" w:rsidP="00094737">
            <w:pPr>
              <w:spacing w:after="0" w:line="240" w:lineRule="auto"/>
              <w:jc w:val="both"/>
              <w:rPr>
                <w:rFonts w:ascii="Perpetua" w:eastAsia="Times New Roman" w:hAnsi="Perpetua" w:cs="Times New Roman"/>
                <w:sz w:val="18"/>
                <w:szCs w:val="18"/>
                <w:lang w:val="en-CA"/>
              </w:rPr>
            </w:pPr>
            <w:r w:rsidRPr="009871DC">
              <w:rPr>
                <w:rFonts w:ascii="Perpetua" w:eastAsia="Times New Roman" w:hAnsi="Perpetua" w:cs="Times New Roman"/>
                <w:sz w:val="18"/>
                <w:szCs w:val="18"/>
                <w:lang w:val="en-CA"/>
              </w:rPr>
              <w:t xml:space="preserve">Boston University School of Theology </w:t>
            </w:r>
          </w:p>
          <w:p w14:paraId="55FD099A" w14:textId="77777777" w:rsidR="00B77118" w:rsidRDefault="00B77118" w:rsidP="00094737">
            <w:pPr>
              <w:spacing w:after="0" w:line="240" w:lineRule="auto"/>
              <w:jc w:val="both"/>
              <w:rPr>
                <w:rFonts w:ascii="Perpetua" w:eastAsia="Times New Roman" w:hAnsi="Perpetua" w:cs="Times New Roman"/>
                <w:sz w:val="18"/>
                <w:szCs w:val="18"/>
                <w:lang w:val="en"/>
              </w:rPr>
            </w:pPr>
            <w:r w:rsidRPr="009871DC">
              <w:rPr>
                <w:rFonts w:ascii="Perpetua" w:eastAsia="Times New Roman" w:hAnsi="Perpetua" w:cs="Times New Roman"/>
                <w:sz w:val="18"/>
                <w:szCs w:val="18"/>
                <w:lang w:val="en"/>
              </w:rPr>
              <w:t xml:space="preserve">745 Commonwealth Avenue, </w:t>
            </w:r>
          </w:p>
          <w:p w14:paraId="67664969" w14:textId="77777777" w:rsidR="00B77118" w:rsidRPr="00163F2A" w:rsidRDefault="00B77118" w:rsidP="00094737">
            <w:pPr>
              <w:spacing w:after="0" w:line="240" w:lineRule="auto"/>
              <w:jc w:val="both"/>
              <w:rPr>
                <w:rFonts w:ascii="Perpetua" w:eastAsia="Times New Roman" w:hAnsi="Perpetua" w:cs="Times New Roman"/>
                <w:sz w:val="18"/>
                <w:szCs w:val="18"/>
                <w:lang w:val="fr-CA"/>
              </w:rPr>
            </w:pPr>
            <w:r w:rsidRPr="00163F2A">
              <w:rPr>
                <w:rFonts w:ascii="Perpetua" w:eastAsia="Times New Roman" w:hAnsi="Perpetua" w:cs="Times New Roman"/>
                <w:sz w:val="18"/>
                <w:szCs w:val="18"/>
                <w:lang w:val="fr-CA"/>
              </w:rPr>
              <w:t>Boston, MA 02215, U.S.A.</w:t>
            </w:r>
          </w:p>
          <w:p w14:paraId="4FAA46CD" w14:textId="0040CEAC" w:rsidR="003F30EA" w:rsidRPr="00B77118" w:rsidRDefault="003F30EA" w:rsidP="00094737">
            <w:pPr>
              <w:spacing w:after="0" w:line="240" w:lineRule="auto"/>
              <w:jc w:val="both"/>
              <w:rPr>
                <w:rFonts w:ascii="Perpetua" w:eastAsia="Times New Roman" w:hAnsi="Perpetua" w:cs="Times New Roman"/>
                <w:sz w:val="18"/>
                <w:szCs w:val="18"/>
                <w:lang w:val="fr-CA"/>
              </w:rPr>
            </w:pPr>
            <w:r w:rsidRPr="00B77118">
              <w:rPr>
                <w:rFonts w:ascii="Perpetua" w:eastAsia="Times New Roman" w:hAnsi="Perpetua" w:cs="Times New Roman"/>
                <w:sz w:val="18"/>
                <w:szCs w:val="18"/>
                <w:lang w:val="fr-CA"/>
              </w:rPr>
              <w:t xml:space="preserve"> </w:t>
            </w:r>
          </w:p>
          <w:p w14:paraId="6EAFC674" w14:textId="77777777" w:rsidR="003F30EA" w:rsidRPr="009871DC" w:rsidRDefault="003F30EA" w:rsidP="00094737">
            <w:pPr>
              <w:spacing w:after="0" w:line="240" w:lineRule="auto"/>
              <w:jc w:val="both"/>
              <w:rPr>
                <w:rFonts w:ascii="Perpetua" w:eastAsia="Times New Roman" w:hAnsi="Perpetua" w:cs="Times New Roman"/>
                <w:bCs/>
                <w:sz w:val="18"/>
                <w:szCs w:val="18"/>
                <w:lang w:val="en-CA"/>
              </w:rPr>
            </w:pPr>
            <w:r w:rsidRPr="009871DC">
              <w:rPr>
                <w:rFonts w:ascii="Perpetua" w:eastAsia="Times New Roman" w:hAnsi="Perpetua" w:cs="Times New Roman"/>
                <w:bCs/>
                <w:sz w:val="18"/>
                <w:szCs w:val="18"/>
                <w:lang w:val="en-CA"/>
              </w:rPr>
              <w:t>ISSN 2572-0651</w:t>
            </w:r>
          </w:p>
          <w:p w14:paraId="685D54B0" w14:textId="77777777" w:rsidR="003F30EA" w:rsidRPr="009871DC" w:rsidRDefault="003F30EA" w:rsidP="00094737">
            <w:pPr>
              <w:spacing w:after="0" w:line="240" w:lineRule="auto"/>
              <w:jc w:val="both"/>
              <w:rPr>
                <w:rFonts w:ascii="Adobe Garamond Pro" w:eastAsia="Times New Roman" w:hAnsi="Adobe Garamond Pro" w:cs="Times New Roman"/>
                <w:bCs/>
                <w:sz w:val="18"/>
                <w:szCs w:val="18"/>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tblGrid>
            <w:tr w:rsidR="003F30EA" w:rsidRPr="009871DC" w14:paraId="5108777F" w14:textId="77777777" w:rsidTr="003123F5">
              <w:tc>
                <w:tcPr>
                  <w:tcW w:w="1525" w:type="dxa"/>
                </w:tcPr>
                <w:p w14:paraId="5F86CA37" w14:textId="77777777" w:rsidR="003F30EA" w:rsidRPr="009871DC" w:rsidRDefault="003F30EA" w:rsidP="00094737">
                  <w:pPr>
                    <w:jc w:val="center"/>
                    <w:rPr>
                      <w:rFonts w:ascii="Perpetua" w:hAnsi="Perpetua"/>
                      <w:sz w:val="20"/>
                      <w:szCs w:val="20"/>
                      <w:lang w:val="en-CA"/>
                    </w:rPr>
                  </w:pPr>
                  <w:r w:rsidRPr="009871DC">
                    <w:rPr>
                      <w:rFonts w:ascii="Perpetua" w:eastAsia="Times New Roman" w:hAnsi="Perpetua" w:cs="Times New Roman"/>
                      <w:b/>
                      <w:iCs/>
                      <w:noProof/>
                      <w:sz w:val="16"/>
                      <w:szCs w:val="16"/>
                      <w:lang w:val="en-CA"/>
                    </w:rPr>
                    <w:drawing>
                      <wp:anchor distT="0" distB="0" distL="0" distR="0" simplePos="0" relativeHeight="251659264" behindDoc="1" locked="0" layoutInCell="1" allowOverlap="1" wp14:anchorId="7D92FA9A" wp14:editId="0AA4E0AE">
                        <wp:simplePos x="0" y="0"/>
                        <wp:positionH relativeFrom="column">
                          <wp:posOffset>0</wp:posOffset>
                        </wp:positionH>
                        <wp:positionV relativeFrom="page">
                          <wp:align>top</wp:align>
                        </wp:positionV>
                        <wp:extent cx="786384" cy="786384"/>
                        <wp:effectExtent l="0" t="0" r="0" b="0"/>
                        <wp:wrapTight wrapText="bothSides">
                          <wp:wrapPolygon edited="0">
                            <wp:start x="0" y="0"/>
                            <wp:lineTo x="0" y="20937"/>
                            <wp:lineTo x="20937" y="20937"/>
                            <wp:lineTo x="20937" y="0"/>
                            <wp:lineTo x="0" y="0"/>
                          </wp:wrapPolygon>
                        </wp:wrapTight>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flipV="1">
                                  <a:off x="0" y="0"/>
                                  <a:ext cx="786384" cy="786384"/>
                                </a:xfrm>
                                <a:prstGeom prst="rect">
                                  <a:avLst/>
                                </a:prstGeom>
                              </pic:spPr>
                            </pic:pic>
                          </a:graphicData>
                        </a:graphic>
                        <wp14:sizeRelH relativeFrom="margin">
                          <wp14:pctWidth>0</wp14:pctWidth>
                        </wp14:sizeRelH>
                        <wp14:sizeRelV relativeFrom="margin">
                          <wp14:pctHeight>0</wp14:pctHeight>
                        </wp14:sizeRelV>
                      </wp:anchor>
                    </w:drawing>
                  </w:r>
                  <w:r w:rsidRPr="009871DC">
                    <w:rPr>
                      <w:rFonts w:ascii="Perpetua" w:hAnsi="Perpetua"/>
                      <w:sz w:val="20"/>
                      <w:szCs w:val="20"/>
                      <w:lang w:val="en-CA"/>
                    </w:rPr>
                    <w:t>DONATE</w:t>
                  </w:r>
                </w:p>
              </w:tc>
            </w:tr>
          </w:tbl>
          <w:p w14:paraId="4CDD22F8" w14:textId="77777777" w:rsidR="003F30EA" w:rsidRPr="009871DC" w:rsidRDefault="003F30EA" w:rsidP="00094737">
            <w:pPr>
              <w:spacing w:after="0" w:line="240" w:lineRule="auto"/>
              <w:jc w:val="both"/>
              <w:rPr>
                <w:rFonts w:ascii="Adobe Garamond Pro" w:eastAsia="Times New Roman" w:hAnsi="Adobe Garamond Pro" w:cs="Times New Roman"/>
                <w:bCs/>
                <w:sz w:val="18"/>
                <w:szCs w:val="18"/>
                <w:lang w:val="en-CA"/>
              </w:rPr>
            </w:pPr>
          </w:p>
        </w:tc>
      </w:tr>
    </w:tbl>
    <w:p w14:paraId="65A47F1E" w14:textId="45F57EF9" w:rsidR="00BE3688" w:rsidRDefault="00BE3688" w:rsidP="00094737">
      <w:pPr>
        <w:spacing w:after="0" w:line="240" w:lineRule="auto"/>
        <w:jc w:val="cente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5107"/>
      </w:tblGrid>
      <w:tr w:rsidR="00551D9E" w14:paraId="25A311F5" w14:textId="77777777" w:rsidTr="00CB79F0">
        <w:tc>
          <w:tcPr>
            <w:tcW w:w="1075" w:type="dxa"/>
          </w:tcPr>
          <w:p w14:paraId="2BA07464" w14:textId="77777777" w:rsidR="00216EFB" w:rsidRDefault="00216EFB" w:rsidP="00094737">
            <w:pPr>
              <w:spacing w:after="0" w:line="240" w:lineRule="auto"/>
              <w:jc w:val="right"/>
              <w:rPr>
                <w:rFonts w:ascii="Lithos Pro Regular" w:eastAsia="Times New Roman" w:hAnsi="Lithos Pro Regular" w:cs="Times New Roman"/>
                <w:b/>
                <w:iCs/>
                <w:noProof/>
                <w:sz w:val="16"/>
                <w:szCs w:val="16"/>
                <w:lang w:val="en-CA"/>
              </w:rPr>
            </w:pPr>
          </w:p>
          <w:p w14:paraId="00C512EC" w14:textId="09520BEF" w:rsidR="00551D9E" w:rsidRDefault="00216EFB" w:rsidP="00094737">
            <w:pPr>
              <w:spacing w:after="0" w:line="240" w:lineRule="auto"/>
              <w:jc w:val="right"/>
              <w:rPr>
                <w:rFonts w:ascii="Lithos Pro Regular" w:eastAsia="Times New Roman" w:hAnsi="Lithos Pro Regular" w:cs="Times New Roman"/>
                <w:b/>
                <w:iCs/>
                <w:sz w:val="16"/>
                <w:szCs w:val="16"/>
                <w:lang w:val="en-CA"/>
              </w:rPr>
            </w:pPr>
            <w:r>
              <w:rPr>
                <w:rFonts w:ascii="Lithos Pro Regular" w:eastAsia="Times New Roman" w:hAnsi="Lithos Pro Regular" w:cs="Times New Roman"/>
                <w:b/>
                <w:iCs/>
                <w:noProof/>
                <w:sz w:val="16"/>
                <w:szCs w:val="16"/>
                <w:lang w:val="en-CA"/>
              </w:rPr>
              <w:drawing>
                <wp:inline distT="0" distB="0" distL="0" distR="0" wp14:anchorId="5DB0DCFD" wp14:editId="34E1AC38">
                  <wp:extent cx="368808" cy="365760"/>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8808" cy="365760"/>
                          </a:xfrm>
                          <a:prstGeom prst="rect">
                            <a:avLst/>
                          </a:prstGeom>
                        </pic:spPr>
                      </pic:pic>
                    </a:graphicData>
                  </a:graphic>
                </wp:inline>
              </w:drawing>
            </w:r>
          </w:p>
        </w:tc>
        <w:tc>
          <w:tcPr>
            <w:tcW w:w="5107" w:type="dxa"/>
          </w:tcPr>
          <w:p w14:paraId="1DF1066D" w14:textId="77777777" w:rsidR="00551D9E" w:rsidRDefault="00551D9E" w:rsidP="00094737">
            <w:pPr>
              <w:spacing w:after="0" w:line="240" w:lineRule="auto"/>
              <w:rPr>
                <w:rFonts w:ascii="Lithos Pro Regular" w:eastAsia="Times New Roman" w:hAnsi="Lithos Pro Regular" w:cs="Times New Roman"/>
                <w:b/>
                <w:iCs/>
                <w:sz w:val="16"/>
                <w:szCs w:val="16"/>
                <w:lang w:val="en-CA"/>
              </w:rPr>
            </w:pPr>
          </w:p>
          <w:p w14:paraId="63687CF8" w14:textId="773A06F4" w:rsidR="00551D9E" w:rsidRPr="00BF573F" w:rsidRDefault="00551D9E" w:rsidP="00094737">
            <w:pPr>
              <w:spacing w:after="0" w:line="240" w:lineRule="auto"/>
              <w:rPr>
                <w:rFonts w:ascii="Adobe Garamond Pro" w:eastAsia="Times New Roman" w:hAnsi="Adobe Garamond Pro" w:cs="Times New Roman"/>
                <w:bCs/>
                <w:iCs/>
                <w:sz w:val="16"/>
                <w:szCs w:val="16"/>
                <w:lang w:val="en-CA"/>
              </w:rPr>
            </w:pPr>
            <w:r w:rsidRPr="00BF573F">
              <w:rPr>
                <w:rFonts w:ascii="Lithos Pro Regular" w:eastAsia="Times New Roman" w:hAnsi="Lithos Pro Regular" w:cs="Times New Roman"/>
                <w:bCs/>
                <w:iCs/>
                <w:sz w:val="20"/>
                <w:szCs w:val="20"/>
                <w:lang w:val="en-CA"/>
              </w:rPr>
              <w:t>Journal of African Christian Biography</w:t>
            </w:r>
            <w:r>
              <w:rPr>
                <w:rFonts w:ascii="Adobe Garamond Pro" w:eastAsia="Times New Roman" w:hAnsi="Adobe Garamond Pro" w:cs="Times New Roman"/>
                <w:bCs/>
                <w:iCs/>
                <w:sz w:val="16"/>
                <w:szCs w:val="16"/>
                <w:lang w:val="en-CA"/>
              </w:rPr>
              <w:br/>
            </w:r>
            <w:r w:rsidRPr="00CB79F0">
              <w:rPr>
                <w:rFonts w:ascii="Adobe Garamond Pro" w:eastAsia="Times New Roman" w:hAnsi="Adobe Garamond Pro" w:cs="Times New Roman"/>
                <w:bCs/>
                <w:iCs/>
                <w:sz w:val="14"/>
                <w:szCs w:val="14"/>
                <w:lang w:val="en-CA"/>
              </w:rPr>
              <w:t xml:space="preserve"> </w:t>
            </w:r>
            <w:r w:rsidRPr="00BF573F">
              <w:rPr>
                <w:rFonts w:ascii="Adobe Garamond Pro" w:eastAsia="Times New Roman" w:hAnsi="Adobe Garamond Pro" w:cs="Times New Roman"/>
                <w:bCs/>
                <w:iCs/>
                <w:sz w:val="16"/>
                <w:szCs w:val="16"/>
                <w:lang w:val="en-CA"/>
              </w:rPr>
              <w:t xml:space="preserve"> Established in 2016 </w:t>
            </w:r>
          </w:p>
          <w:p w14:paraId="3A8F1B2D" w14:textId="42903E1E" w:rsidR="00551D9E" w:rsidRPr="00BF573F" w:rsidRDefault="00551D9E" w:rsidP="00094737">
            <w:pPr>
              <w:spacing w:after="0" w:line="240" w:lineRule="auto"/>
              <w:rPr>
                <w:rFonts w:ascii="Adobe Garamond Pro" w:eastAsia="Times New Roman" w:hAnsi="Adobe Garamond Pro" w:cs="Times New Roman"/>
                <w:bCs/>
                <w:i/>
                <w:sz w:val="16"/>
                <w:szCs w:val="16"/>
                <w:lang w:val="en-CA"/>
              </w:rPr>
            </w:pPr>
            <w:r w:rsidRPr="00BF573F">
              <w:rPr>
                <w:rFonts w:ascii="Adobe Garamond Pro" w:eastAsia="Times New Roman" w:hAnsi="Adobe Garamond Pro" w:cs="Times New Roman"/>
                <w:bCs/>
                <w:iCs/>
                <w:sz w:val="16"/>
                <w:szCs w:val="16"/>
                <w:lang w:val="en-CA"/>
              </w:rPr>
              <w:t xml:space="preserve">  Quarterly publication of the </w:t>
            </w:r>
            <w:r w:rsidRPr="00BF573F">
              <w:rPr>
                <w:rFonts w:ascii="Adobe Garamond Pro" w:eastAsia="Times New Roman" w:hAnsi="Adobe Garamond Pro" w:cs="Times New Roman"/>
                <w:bCs/>
                <w:i/>
                <w:sz w:val="16"/>
                <w:szCs w:val="16"/>
                <w:lang w:val="en-CA"/>
              </w:rPr>
              <w:t>Dictionary of African Christian Biography</w:t>
            </w:r>
          </w:p>
          <w:p w14:paraId="23739EE2" w14:textId="77777777" w:rsidR="00551D9E" w:rsidRDefault="00551D9E" w:rsidP="00094737">
            <w:pPr>
              <w:spacing w:after="0" w:line="240" w:lineRule="auto"/>
              <w:rPr>
                <w:rFonts w:ascii="Lithos Pro Regular" w:eastAsia="Times New Roman" w:hAnsi="Lithos Pro Regular" w:cs="Times New Roman"/>
                <w:b/>
                <w:iCs/>
                <w:sz w:val="16"/>
                <w:szCs w:val="16"/>
                <w:lang w:val="en-CA"/>
              </w:rPr>
            </w:pPr>
          </w:p>
        </w:tc>
      </w:tr>
    </w:tbl>
    <w:p w14:paraId="1ED25A5C" w14:textId="4789C463" w:rsidR="003B32C4" w:rsidRPr="007E1AAA" w:rsidRDefault="003B32C4" w:rsidP="00094737">
      <w:pPr>
        <w:spacing w:after="0" w:line="240" w:lineRule="auto"/>
        <w:rPr>
          <w:rFonts w:ascii="Lithos Pro Regular" w:eastAsia="Times New Roman" w:hAnsi="Lithos Pro Regular" w:cs="Times New Roman"/>
          <w:b/>
          <w:iCs/>
          <w:sz w:val="16"/>
          <w:szCs w:val="16"/>
          <w:lang w:val="en-CA"/>
        </w:rPr>
      </w:pPr>
    </w:p>
    <w:p w14:paraId="6E895AB6" w14:textId="77777777" w:rsidR="00F60346" w:rsidRDefault="00F60346" w:rsidP="00094737">
      <w:pPr>
        <w:spacing w:after="0" w:line="240" w:lineRule="auto"/>
        <w:jc w:val="both"/>
        <w:rPr>
          <w:rFonts w:ascii="Adobe Garamond Pro" w:eastAsia="Times New Roman" w:hAnsi="Adobe Garamond Pro" w:cs="Times New Roman"/>
          <w:b/>
          <w:sz w:val="18"/>
          <w:szCs w:val="18"/>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2828"/>
      </w:tblGrid>
      <w:tr w:rsidR="00116315" w:rsidRPr="00F60346" w14:paraId="20743ABE" w14:textId="77777777" w:rsidTr="0015008B">
        <w:trPr>
          <w:trHeight w:val="800"/>
        </w:trPr>
        <w:tc>
          <w:tcPr>
            <w:tcW w:w="3145" w:type="dxa"/>
          </w:tcPr>
          <w:p w14:paraId="2C0784FE" w14:textId="77777777" w:rsidR="00116315" w:rsidRPr="00603E52" w:rsidRDefault="00116315" w:rsidP="00094737">
            <w:pPr>
              <w:spacing w:after="0" w:line="240" w:lineRule="auto"/>
              <w:ind w:left="-24"/>
              <w:jc w:val="both"/>
              <w:rPr>
                <w:rFonts w:ascii="Adobe Garamond Pro" w:eastAsia="Times New Roman" w:hAnsi="Adobe Garamond Pro" w:cs="Times New Roman"/>
                <w:b/>
                <w:bCs/>
                <w:sz w:val="18"/>
                <w:szCs w:val="18"/>
              </w:rPr>
            </w:pPr>
            <w:r w:rsidRPr="00603E52">
              <w:rPr>
                <w:rFonts w:ascii="Adobe Garamond Pro" w:eastAsia="Times New Roman" w:hAnsi="Adobe Garamond Pro" w:cs="Times New Roman"/>
                <w:b/>
                <w:bCs/>
                <w:sz w:val="18"/>
                <w:szCs w:val="18"/>
              </w:rPr>
              <w:t>Editor</w:t>
            </w:r>
          </w:p>
          <w:p w14:paraId="3785DEA3" w14:textId="77777777" w:rsidR="00116315" w:rsidRDefault="00116315" w:rsidP="00094737">
            <w:pPr>
              <w:spacing w:after="0" w:line="240" w:lineRule="auto"/>
              <w:ind w:left="-24"/>
              <w:jc w:val="both"/>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Michèle Sigg</w:t>
            </w:r>
          </w:p>
          <w:p w14:paraId="25BAEF4E" w14:textId="77777777" w:rsidR="00116315" w:rsidRPr="00CB79F0" w:rsidRDefault="00116315" w:rsidP="00094737">
            <w:pPr>
              <w:spacing w:after="0" w:line="240" w:lineRule="auto"/>
              <w:ind w:left="-24"/>
              <w:jc w:val="both"/>
              <w:rPr>
                <w:rFonts w:ascii="Adobe Garamond Pro" w:eastAsia="Times New Roman" w:hAnsi="Adobe Garamond Pro" w:cs="Times New Roman"/>
                <w:i/>
                <w:iCs/>
                <w:sz w:val="18"/>
                <w:szCs w:val="18"/>
              </w:rPr>
            </w:pPr>
            <w:r>
              <w:rPr>
                <w:rFonts w:ascii="Adobe Garamond Pro" w:eastAsia="Times New Roman" w:hAnsi="Adobe Garamond Pro" w:cs="Times New Roman"/>
                <w:i/>
                <w:iCs/>
                <w:sz w:val="18"/>
                <w:szCs w:val="18"/>
              </w:rPr>
              <w:t xml:space="preserve"> Boston University</w:t>
            </w:r>
          </w:p>
          <w:p w14:paraId="0F7B3FE2" w14:textId="77777777" w:rsidR="00116315" w:rsidRDefault="00116315" w:rsidP="00094737">
            <w:pPr>
              <w:spacing w:after="0" w:line="240" w:lineRule="auto"/>
              <w:ind w:left="-24"/>
              <w:jc w:val="both"/>
              <w:rPr>
                <w:rFonts w:ascii="Adobe Garamond Pro" w:eastAsia="Times New Roman" w:hAnsi="Adobe Garamond Pro" w:cs="Times New Roman"/>
                <w:sz w:val="18"/>
                <w:szCs w:val="18"/>
              </w:rPr>
            </w:pPr>
          </w:p>
          <w:p w14:paraId="064E6B97" w14:textId="77777777" w:rsidR="00116315" w:rsidRPr="00603E52" w:rsidRDefault="00116315" w:rsidP="00094737">
            <w:pPr>
              <w:spacing w:after="0" w:line="240" w:lineRule="auto"/>
              <w:ind w:left="-24"/>
              <w:jc w:val="both"/>
              <w:rPr>
                <w:rFonts w:ascii="Adobe Garamond Pro" w:eastAsia="Times New Roman" w:hAnsi="Adobe Garamond Pro" w:cs="Times New Roman"/>
                <w:b/>
                <w:bCs/>
                <w:sz w:val="18"/>
                <w:szCs w:val="18"/>
              </w:rPr>
            </w:pPr>
            <w:r w:rsidRPr="00603E52">
              <w:rPr>
                <w:rFonts w:ascii="Adobe Garamond Pro" w:eastAsia="Times New Roman" w:hAnsi="Adobe Garamond Pro" w:cs="Times New Roman"/>
                <w:b/>
                <w:bCs/>
                <w:sz w:val="18"/>
                <w:szCs w:val="18"/>
              </w:rPr>
              <w:t xml:space="preserve">Associate Editors </w:t>
            </w:r>
          </w:p>
          <w:p w14:paraId="098232F6" w14:textId="77777777" w:rsidR="00116315" w:rsidRDefault="00116315" w:rsidP="00094737">
            <w:pPr>
              <w:spacing w:after="0" w:line="240" w:lineRule="auto"/>
              <w:ind w:left="-24"/>
              <w:jc w:val="both"/>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 xml:space="preserve">Jesse Mugambi </w:t>
            </w:r>
          </w:p>
          <w:p w14:paraId="62E9B632" w14:textId="77777777" w:rsidR="00116315" w:rsidRPr="00EB3469" w:rsidRDefault="00116315" w:rsidP="00094737">
            <w:pPr>
              <w:spacing w:after="0" w:line="240" w:lineRule="auto"/>
              <w:ind w:left="-24"/>
              <w:jc w:val="both"/>
              <w:rPr>
                <w:rFonts w:ascii="Adobe Garamond Pro" w:eastAsia="Times New Roman" w:hAnsi="Adobe Garamond Pro" w:cs="Times New Roman"/>
                <w:sz w:val="18"/>
                <w:szCs w:val="18"/>
              </w:rPr>
            </w:pPr>
            <w:r>
              <w:rPr>
                <w:rFonts w:ascii="Adobe Garamond Pro" w:eastAsia="Times New Roman" w:hAnsi="Adobe Garamond Pro" w:cs="Times New Roman"/>
                <w:i/>
                <w:iCs/>
                <w:sz w:val="18"/>
                <w:szCs w:val="18"/>
              </w:rPr>
              <w:t xml:space="preserve"> University of Nairobi</w:t>
            </w:r>
          </w:p>
          <w:p w14:paraId="3AFF8A29" w14:textId="77777777" w:rsidR="00116315" w:rsidRDefault="00116315" w:rsidP="00094737">
            <w:pPr>
              <w:spacing w:after="0" w:line="240" w:lineRule="auto"/>
              <w:ind w:left="-24"/>
              <w:jc w:val="both"/>
              <w:rPr>
                <w:rFonts w:ascii="Adobe Garamond Pro" w:eastAsia="Times New Roman" w:hAnsi="Adobe Garamond Pro" w:cs="Times New Roman"/>
                <w:sz w:val="18"/>
                <w:szCs w:val="18"/>
              </w:rPr>
            </w:pPr>
            <w:r w:rsidRPr="00AB2ED3">
              <w:rPr>
                <w:rFonts w:ascii="Adobe Garamond Pro" w:eastAsia="Times New Roman" w:hAnsi="Adobe Garamond Pro" w:cs="Times New Roman"/>
                <w:sz w:val="18"/>
                <w:szCs w:val="18"/>
              </w:rPr>
              <w:t xml:space="preserve">Dana Robert </w:t>
            </w:r>
          </w:p>
          <w:p w14:paraId="7864133E" w14:textId="77777777" w:rsidR="00116315" w:rsidRPr="00CB79F0" w:rsidRDefault="00116315" w:rsidP="00094737">
            <w:pPr>
              <w:spacing w:after="0" w:line="240" w:lineRule="auto"/>
              <w:ind w:left="-24"/>
              <w:jc w:val="both"/>
              <w:rPr>
                <w:rFonts w:ascii="Adobe Garamond Pro" w:eastAsia="Times New Roman" w:hAnsi="Adobe Garamond Pro" w:cs="Times New Roman"/>
                <w:i/>
                <w:iCs/>
                <w:sz w:val="18"/>
                <w:szCs w:val="18"/>
              </w:rPr>
            </w:pPr>
            <w:r>
              <w:rPr>
                <w:rFonts w:ascii="Adobe Garamond Pro" w:eastAsia="Times New Roman" w:hAnsi="Adobe Garamond Pro" w:cs="Times New Roman"/>
                <w:i/>
                <w:iCs/>
                <w:sz w:val="18"/>
                <w:szCs w:val="18"/>
              </w:rPr>
              <w:t xml:space="preserve"> Boston University</w:t>
            </w:r>
          </w:p>
          <w:p w14:paraId="32433540" w14:textId="77777777" w:rsidR="00116315" w:rsidRDefault="00116315" w:rsidP="00094737">
            <w:pPr>
              <w:spacing w:after="0" w:line="240" w:lineRule="auto"/>
              <w:ind w:left="-24"/>
              <w:jc w:val="both"/>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Nimi Wariboko</w:t>
            </w:r>
          </w:p>
          <w:p w14:paraId="575E9850" w14:textId="77777777" w:rsidR="00116315" w:rsidRPr="00CB79F0" w:rsidRDefault="00116315" w:rsidP="00094737">
            <w:pPr>
              <w:spacing w:after="0" w:line="240" w:lineRule="auto"/>
              <w:ind w:left="-24"/>
              <w:jc w:val="both"/>
              <w:rPr>
                <w:rFonts w:ascii="Adobe Garamond Pro" w:eastAsia="Times New Roman" w:hAnsi="Adobe Garamond Pro" w:cs="Times New Roman"/>
                <w:i/>
                <w:iCs/>
                <w:sz w:val="18"/>
                <w:szCs w:val="18"/>
              </w:rPr>
            </w:pPr>
            <w:r>
              <w:rPr>
                <w:rFonts w:ascii="Adobe Garamond Pro" w:eastAsia="Times New Roman" w:hAnsi="Adobe Garamond Pro" w:cs="Times New Roman"/>
                <w:i/>
                <w:iCs/>
                <w:sz w:val="18"/>
                <w:szCs w:val="18"/>
              </w:rPr>
              <w:t xml:space="preserve"> Boston University</w:t>
            </w:r>
          </w:p>
          <w:p w14:paraId="63061A83" w14:textId="77777777" w:rsidR="00116315" w:rsidRDefault="00116315" w:rsidP="00094737">
            <w:pPr>
              <w:spacing w:after="0" w:line="240" w:lineRule="auto"/>
              <w:ind w:left="-24"/>
              <w:jc w:val="both"/>
              <w:rPr>
                <w:rFonts w:ascii="Adobe Garamond Pro" w:eastAsia="Times New Roman" w:hAnsi="Adobe Garamond Pro" w:cs="Times New Roman"/>
                <w:sz w:val="18"/>
                <w:szCs w:val="18"/>
              </w:rPr>
            </w:pPr>
          </w:p>
          <w:p w14:paraId="7C34118A" w14:textId="77777777" w:rsidR="00116315" w:rsidRPr="0087286D" w:rsidRDefault="00116315" w:rsidP="00094737">
            <w:pPr>
              <w:spacing w:after="0" w:line="240" w:lineRule="auto"/>
              <w:ind w:left="-24"/>
              <w:jc w:val="both"/>
              <w:rPr>
                <w:rFonts w:ascii="Adobe Garamond Pro" w:eastAsia="Times New Roman" w:hAnsi="Adobe Garamond Pro" w:cs="Times New Roman"/>
                <w:b/>
                <w:bCs/>
                <w:sz w:val="18"/>
                <w:szCs w:val="18"/>
              </w:rPr>
            </w:pPr>
            <w:r w:rsidRPr="0087286D">
              <w:rPr>
                <w:rFonts w:ascii="Adobe Garamond Pro" w:eastAsia="Times New Roman" w:hAnsi="Adobe Garamond Pro" w:cs="Times New Roman"/>
                <w:b/>
                <w:bCs/>
                <w:sz w:val="18"/>
                <w:szCs w:val="18"/>
              </w:rPr>
              <w:t xml:space="preserve">Book Notes Editor </w:t>
            </w:r>
          </w:p>
          <w:p w14:paraId="7491E84B" w14:textId="77777777" w:rsidR="00116315" w:rsidRDefault="00116315" w:rsidP="00094737">
            <w:pPr>
              <w:spacing w:after="0" w:line="240" w:lineRule="auto"/>
              <w:ind w:left="-24"/>
              <w:jc w:val="both"/>
              <w:rPr>
                <w:rFonts w:ascii="Adobe Garamond Pro" w:eastAsia="Times New Roman" w:hAnsi="Adobe Garamond Pro" w:cs="Times New Roman"/>
                <w:sz w:val="18"/>
                <w:szCs w:val="18"/>
              </w:rPr>
            </w:pPr>
            <w:r w:rsidRPr="00AB2ED3">
              <w:rPr>
                <w:rFonts w:ascii="Adobe Garamond Pro" w:eastAsia="Times New Roman" w:hAnsi="Adobe Garamond Pro" w:cs="Times New Roman"/>
                <w:sz w:val="18"/>
                <w:szCs w:val="18"/>
              </w:rPr>
              <w:t>Frances (Beth) Restrick</w:t>
            </w:r>
          </w:p>
          <w:p w14:paraId="1C898D8B" w14:textId="77777777" w:rsidR="00116315" w:rsidRPr="00CB79F0" w:rsidRDefault="00116315" w:rsidP="00094737">
            <w:pPr>
              <w:spacing w:after="0" w:line="240" w:lineRule="auto"/>
              <w:ind w:left="-24"/>
              <w:jc w:val="both"/>
              <w:rPr>
                <w:rFonts w:ascii="Adobe Garamond Pro" w:eastAsia="Times New Roman" w:hAnsi="Adobe Garamond Pro" w:cs="Times New Roman"/>
                <w:i/>
                <w:iCs/>
                <w:sz w:val="18"/>
                <w:szCs w:val="18"/>
              </w:rPr>
            </w:pPr>
            <w:r>
              <w:rPr>
                <w:rFonts w:ascii="Adobe Garamond Pro" w:eastAsia="Times New Roman" w:hAnsi="Adobe Garamond Pro" w:cs="Times New Roman"/>
                <w:i/>
                <w:iCs/>
                <w:sz w:val="18"/>
                <w:szCs w:val="18"/>
              </w:rPr>
              <w:t xml:space="preserve"> Boston University</w:t>
            </w:r>
          </w:p>
          <w:p w14:paraId="6407D08E" w14:textId="77777777" w:rsidR="00116315" w:rsidRDefault="00116315" w:rsidP="00094737">
            <w:pPr>
              <w:spacing w:after="0" w:line="240" w:lineRule="auto"/>
              <w:ind w:left="-24"/>
              <w:jc w:val="both"/>
              <w:rPr>
                <w:rFonts w:ascii="Adobe Garamond Pro" w:eastAsia="Times New Roman" w:hAnsi="Adobe Garamond Pro" w:cs="Times New Roman"/>
                <w:sz w:val="18"/>
                <w:szCs w:val="18"/>
              </w:rPr>
            </w:pPr>
          </w:p>
          <w:p w14:paraId="1AD8C73B" w14:textId="77777777" w:rsidR="00116315" w:rsidRDefault="00116315" w:rsidP="00094737">
            <w:pPr>
              <w:spacing w:after="0" w:line="240" w:lineRule="auto"/>
              <w:ind w:left="-24"/>
              <w:jc w:val="both"/>
              <w:rPr>
                <w:rFonts w:ascii="Adobe Garamond Pro" w:eastAsia="Times New Roman" w:hAnsi="Adobe Garamond Pro" w:cs="Times New Roman"/>
                <w:b/>
                <w:bCs/>
                <w:sz w:val="18"/>
                <w:szCs w:val="18"/>
              </w:rPr>
            </w:pPr>
            <w:r>
              <w:rPr>
                <w:rFonts w:ascii="Adobe Garamond Pro" w:eastAsia="Times New Roman" w:hAnsi="Adobe Garamond Pro" w:cs="Times New Roman"/>
                <w:b/>
                <w:bCs/>
                <w:sz w:val="18"/>
                <w:szCs w:val="18"/>
              </w:rPr>
              <w:t>Consulting Editor</w:t>
            </w:r>
          </w:p>
          <w:p w14:paraId="095FEEA4" w14:textId="77777777" w:rsidR="00116315" w:rsidRDefault="00116315" w:rsidP="00094737">
            <w:pPr>
              <w:spacing w:after="0" w:line="240" w:lineRule="auto"/>
              <w:ind w:left="-24"/>
              <w:jc w:val="both"/>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Jonathan Bonk</w:t>
            </w:r>
          </w:p>
          <w:p w14:paraId="4052B2A4" w14:textId="77777777" w:rsidR="00116315" w:rsidRPr="00A849F5" w:rsidRDefault="00116315" w:rsidP="00094737">
            <w:pPr>
              <w:spacing w:after="0" w:line="240" w:lineRule="auto"/>
              <w:ind w:left="-24"/>
              <w:jc w:val="both"/>
              <w:rPr>
                <w:rFonts w:ascii="Adobe Garamond Pro" w:eastAsia="Times New Roman" w:hAnsi="Adobe Garamond Pro" w:cs="Times New Roman"/>
                <w:i/>
                <w:iCs/>
                <w:sz w:val="18"/>
                <w:szCs w:val="18"/>
              </w:rPr>
            </w:pPr>
            <w:r>
              <w:rPr>
                <w:rFonts w:ascii="Adobe Garamond Pro" w:eastAsia="Times New Roman" w:hAnsi="Adobe Garamond Pro" w:cs="Times New Roman"/>
                <w:i/>
                <w:iCs/>
                <w:sz w:val="18"/>
                <w:szCs w:val="18"/>
              </w:rPr>
              <w:t xml:space="preserve"> Boston University</w:t>
            </w:r>
          </w:p>
          <w:p w14:paraId="3F9C05BC" w14:textId="77777777" w:rsidR="00116315" w:rsidRDefault="00116315" w:rsidP="00094737">
            <w:pPr>
              <w:spacing w:after="0" w:line="240" w:lineRule="auto"/>
              <w:ind w:left="-24"/>
              <w:jc w:val="both"/>
              <w:rPr>
                <w:rFonts w:ascii="Adobe Garamond Pro" w:eastAsia="Times New Roman" w:hAnsi="Adobe Garamond Pro" w:cs="Times New Roman"/>
                <w:b/>
                <w:bCs/>
                <w:sz w:val="18"/>
                <w:szCs w:val="18"/>
              </w:rPr>
            </w:pPr>
            <w:r>
              <w:rPr>
                <w:rFonts w:ascii="Adobe Garamond Pro" w:eastAsia="Times New Roman" w:hAnsi="Adobe Garamond Pro" w:cs="Times New Roman"/>
                <w:sz w:val="18"/>
                <w:szCs w:val="18"/>
              </w:rPr>
              <w:t xml:space="preserve">  </w:t>
            </w:r>
          </w:p>
          <w:p w14:paraId="5F94D410" w14:textId="77777777" w:rsidR="00116315" w:rsidRPr="0001588E" w:rsidRDefault="00116315" w:rsidP="00094737">
            <w:pPr>
              <w:spacing w:after="0" w:line="240" w:lineRule="auto"/>
              <w:jc w:val="both"/>
              <w:rPr>
                <w:rFonts w:ascii="Adobe Garamond Pro" w:eastAsia="Times New Roman" w:hAnsi="Adobe Garamond Pro" w:cs="Times New Roman"/>
                <w:b/>
                <w:bCs/>
                <w:sz w:val="18"/>
                <w:szCs w:val="18"/>
              </w:rPr>
            </w:pPr>
            <w:r w:rsidRPr="0001588E">
              <w:rPr>
                <w:rFonts w:ascii="Adobe Garamond Pro" w:eastAsia="Times New Roman" w:hAnsi="Adobe Garamond Pro" w:cs="Times New Roman"/>
                <w:b/>
                <w:bCs/>
                <w:sz w:val="18"/>
                <w:szCs w:val="18"/>
              </w:rPr>
              <w:t>Editorial Board</w:t>
            </w:r>
          </w:p>
          <w:p w14:paraId="6B9850B0" w14:textId="3AB18AFC" w:rsidR="00116315" w:rsidRDefault="00116315" w:rsidP="00094737">
            <w:pPr>
              <w:spacing w:after="0" w:line="240" w:lineRule="auto"/>
              <w:rPr>
                <w:rFonts w:ascii="Adobe Garamond Pro" w:eastAsia="Times New Roman" w:hAnsi="Adobe Garamond Pro" w:cs="Times New Roman"/>
                <w:i/>
                <w:iCs/>
                <w:sz w:val="18"/>
                <w:szCs w:val="18"/>
              </w:rPr>
            </w:pPr>
            <w:r w:rsidRPr="00AB2ED3">
              <w:rPr>
                <w:rFonts w:ascii="Adobe Garamond Pro" w:eastAsia="Times New Roman" w:hAnsi="Adobe Garamond Pro" w:cs="Times New Roman"/>
                <w:sz w:val="18"/>
                <w:szCs w:val="18"/>
              </w:rPr>
              <w:t>Esther Acolatse</w:t>
            </w:r>
            <w:r>
              <w:rPr>
                <w:rFonts w:ascii="Adobe Garamond Pro" w:eastAsia="Times New Roman" w:hAnsi="Adobe Garamond Pro" w:cs="Times New Roman"/>
                <w:sz w:val="18"/>
                <w:szCs w:val="18"/>
              </w:rPr>
              <w:br/>
            </w:r>
            <w:r>
              <w:rPr>
                <w:rFonts w:ascii="Adobe Garamond Pro" w:eastAsia="Times New Roman" w:hAnsi="Adobe Garamond Pro" w:cs="Times New Roman"/>
                <w:i/>
                <w:iCs/>
                <w:sz w:val="18"/>
                <w:szCs w:val="18"/>
              </w:rPr>
              <w:t xml:space="preserve"> Knox College</w:t>
            </w:r>
          </w:p>
          <w:p w14:paraId="482DC2FB" w14:textId="38B65090" w:rsidR="00B05EF6" w:rsidRDefault="00B05EF6" w:rsidP="00094737">
            <w:pPr>
              <w:spacing w:after="0" w:line="240" w:lineRule="auto"/>
              <w:rPr>
                <w:rFonts w:ascii="Adobe Garamond Pro" w:eastAsia="Times New Roman" w:hAnsi="Adobe Garamond Pro" w:cs="Times New Roman"/>
                <w:sz w:val="18"/>
                <w:szCs w:val="18"/>
              </w:rPr>
            </w:pPr>
            <w:r w:rsidRPr="00B05EF6">
              <w:rPr>
                <w:rFonts w:ascii="Adobe Garamond Pro" w:eastAsia="Times New Roman" w:hAnsi="Adobe Garamond Pro" w:cs="Times New Roman"/>
                <w:sz w:val="18"/>
                <w:szCs w:val="18"/>
              </w:rPr>
              <w:t>Tekletsadik Belachew</w:t>
            </w:r>
          </w:p>
          <w:p w14:paraId="453D70BD" w14:textId="3CC3D4BA" w:rsidR="00B05EF6" w:rsidRPr="00B05EF6" w:rsidRDefault="00B05EF6" w:rsidP="00094737">
            <w:pPr>
              <w:spacing w:after="0" w:line="240" w:lineRule="auto"/>
              <w:rPr>
                <w:rFonts w:ascii="Adobe Garamond Pro" w:eastAsia="Times New Roman" w:hAnsi="Adobe Garamond Pro" w:cs="Times New Roman"/>
                <w:i/>
                <w:iCs/>
                <w:sz w:val="18"/>
                <w:szCs w:val="18"/>
              </w:rPr>
            </w:pPr>
            <w:r>
              <w:rPr>
                <w:rFonts w:ascii="Adobe Garamond Pro" w:eastAsia="Times New Roman" w:hAnsi="Adobe Garamond Pro" w:cs="Times New Roman"/>
                <w:sz w:val="18"/>
                <w:szCs w:val="18"/>
              </w:rPr>
              <w:t xml:space="preserve"> </w:t>
            </w:r>
            <w:r>
              <w:rPr>
                <w:rFonts w:ascii="Adobe Garamond Pro" w:eastAsia="Times New Roman" w:hAnsi="Adobe Garamond Pro" w:cs="Times New Roman"/>
                <w:i/>
                <w:iCs/>
                <w:sz w:val="18"/>
                <w:szCs w:val="18"/>
              </w:rPr>
              <w:t>Concordia Seminary</w:t>
            </w:r>
          </w:p>
          <w:p w14:paraId="39848925" w14:textId="77777777" w:rsidR="00116315" w:rsidRPr="00972B32" w:rsidRDefault="00116315" w:rsidP="00094737">
            <w:pPr>
              <w:spacing w:after="0" w:line="240" w:lineRule="auto"/>
              <w:rPr>
                <w:rFonts w:ascii="Adobe Garamond Pro" w:eastAsia="Times New Roman" w:hAnsi="Adobe Garamond Pro" w:cs="Times New Roman"/>
                <w:sz w:val="18"/>
                <w:szCs w:val="18"/>
              </w:rPr>
            </w:pPr>
            <w:r w:rsidRPr="00972B32">
              <w:rPr>
                <w:rFonts w:ascii="Adobe Garamond Pro" w:eastAsia="Times New Roman" w:hAnsi="Adobe Garamond Pro" w:cs="Times New Roman"/>
                <w:sz w:val="18"/>
                <w:szCs w:val="18"/>
              </w:rPr>
              <w:t>Jean-Luc Enyegue</w:t>
            </w:r>
          </w:p>
          <w:p w14:paraId="2C8E1D65" w14:textId="77777777" w:rsidR="00116315" w:rsidRPr="002C26EC" w:rsidRDefault="00116315" w:rsidP="00094737">
            <w:pPr>
              <w:spacing w:after="0" w:line="240" w:lineRule="auto"/>
              <w:rPr>
                <w:rFonts w:ascii="Adobe Garamond Pro" w:eastAsia="Times New Roman" w:hAnsi="Adobe Garamond Pro" w:cs="Times New Roman"/>
                <w:i/>
                <w:iCs/>
                <w:sz w:val="18"/>
                <w:szCs w:val="18"/>
              </w:rPr>
            </w:pPr>
            <w:r>
              <w:rPr>
                <w:rFonts w:ascii="Adobe Garamond Pro" w:eastAsia="Times New Roman" w:hAnsi="Adobe Garamond Pro" w:cs="Times New Roman"/>
                <w:i/>
                <w:iCs/>
                <w:sz w:val="18"/>
                <w:szCs w:val="18"/>
              </w:rPr>
              <w:t xml:space="preserve"> </w:t>
            </w:r>
            <w:r w:rsidRPr="002C26EC">
              <w:rPr>
                <w:rFonts w:ascii="Adobe Garamond Pro" w:eastAsia="Times New Roman" w:hAnsi="Adobe Garamond Pro" w:cs="Times New Roman"/>
                <w:i/>
                <w:iCs/>
                <w:sz w:val="18"/>
                <w:szCs w:val="18"/>
              </w:rPr>
              <w:t>Jesuit Historical Institute in A</w:t>
            </w:r>
            <w:r>
              <w:rPr>
                <w:rFonts w:ascii="Adobe Garamond Pro" w:eastAsia="Times New Roman" w:hAnsi="Adobe Garamond Pro" w:cs="Times New Roman"/>
                <w:i/>
                <w:iCs/>
                <w:sz w:val="18"/>
                <w:szCs w:val="18"/>
              </w:rPr>
              <w:t>frica</w:t>
            </w:r>
          </w:p>
          <w:p w14:paraId="630A7412" w14:textId="77777777" w:rsidR="00116315" w:rsidRDefault="00116315" w:rsidP="00094737">
            <w:pPr>
              <w:spacing w:after="0" w:line="240" w:lineRule="auto"/>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Casely Essamuah</w:t>
            </w:r>
          </w:p>
          <w:p w14:paraId="2313C237" w14:textId="22D1E3D2" w:rsidR="00116315" w:rsidRDefault="00116315" w:rsidP="00094737">
            <w:pPr>
              <w:spacing w:after="0" w:line="240" w:lineRule="auto"/>
              <w:rPr>
                <w:rFonts w:ascii="Adobe Garamond Pro" w:eastAsia="Times New Roman" w:hAnsi="Adobe Garamond Pro" w:cs="Times New Roman"/>
                <w:i/>
                <w:iCs/>
                <w:sz w:val="18"/>
                <w:szCs w:val="18"/>
              </w:rPr>
            </w:pPr>
            <w:r>
              <w:rPr>
                <w:rFonts w:ascii="Adobe Garamond Pro" w:eastAsia="Times New Roman" w:hAnsi="Adobe Garamond Pro" w:cs="Times New Roman"/>
                <w:i/>
                <w:iCs/>
                <w:sz w:val="18"/>
                <w:szCs w:val="18"/>
              </w:rPr>
              <w:t xml:space="preserve"> Global Christian Forum</w:t>
            </w:r>
          </w:p>
          <w:p w14:paraId="691DADB4" w14:textId="6D73366D" w:rsidR="00B05EF6" w:rsidRDefault="00B05EF6" w:rsidP="00094737">
            <w:pPr>
              <w:spacing w:after="0" w:line="240" w:lineRule="auto"/>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Anicka Fast</w:t>
            </w:r>
          </w:p>
          <w:p w14:paraId="77FBDAD9" w14:textId="3FC4C162" w:rsidR="00B05EF6" w:rsidRPr="00B05EF6" w:rsidRDefault="00B05EF6" w:rsidP="00094737">
            <w:pPr>
              <w:spacing w:after="0" w:line="240" w:lineRule="auto"/>
              <w:rPr>
                <w:rFonts w:ascii="Adobe Garamond Pro" w:eastAsia="Times New Roman" w:hAnsi="Adobe Garamond Pro" w:cs="Times New Roman"/>
                <w:i/>
                <w:iCs/>
                <w:sz w:val="18"/>
                <w:szCs w:val="18"/>
              </w:rPr>
            </w:pPr>
            <w:r>
              <w:rPr>
                <w:rFonts w:ascii="Adobe Garamond Pro" w:eastAsia="Times New Roman" w:hAnsi="Adobe Garamond Pro" w:cs="Times New Roman"/>
                <w:sz w:val="18"/>
                <w:szCs w:val="18"/>
              </w:rPr>
              <w:t xml:space="preserve"> </w:t>
            </w:r>
            <w:r>
              <w:rPr>
                <w:rFonts w:ascii="Adobe Garamond Pro" w:eastAsia="Times New Roman" w:hAnsi="Adobe Garamond Pro" w:cs="Times New Roman"/>
                <w:i/>
                <w:iCs/>
                <w:sz w:val="18"/>
                <w:szCs w:val="18"/>
              </w:rPr>
              <w:t>Mennonite Mission Network</w:t>
            </w:r>
          </w:p>
          <w:p w14:paraId="480E6C21" w14:textId="47890BEC" w:rsidR="00116315" w:rsidRDefault="00116315" w:rsidP="00094737">
            <w:pPr>
              <w:spacing w:after="0" w:line="240" w:lineRule="auto"/>
              <w:rPr>
                <w:rFonts w:ascii="Adobe Garamond Pro" w:eastAsia="Times New Roman" w:hAnsi="Adobe Garamond Pro" w:cs="Times New Roman"/>
                <w:i/>
                <w:iCs/>
                <w:sz w:val="18"/>
                <w:szCs w:val="18"/>
              </w:rPr>
            </w:pPr>
            <w:r>
              <w:rPr>
                <w:rFonts w:ascii="Adobe Garamond Pro" w:eastAsia="Times New Roman" w:hAnsi="Adobe Garamond Pro" w:cs="Times New Roman"/>
                <w:sz w:val="18"/>
                <w:szCs w:val="18"/>
              </w:rPr>
              <w:t>Mary Getui</w:t>
            </w:r>
            <w:r>
              <w:rPr>
                <w:rFonts w:ascii="Adobe Garamond Pro" w:eastAsia="Times New Roman" w:hAnsi="Adobe Garamond Pro" w:cs="Times New Roman"/>
                <w:sz w:val="18"/>
                <w:szCs w:val="18"/>
              </w:rPr>
              <w:br/>
            </w:r>
            <w:r>
              <w:rPr>
                <w:rFonts w:ascii="Adobe Garamond Pro" w:eastAsia="Times New Roman" w:hAnsi="Adobe Garamond Pro" w:cs="Times New Roman"/>
                <w:i/>
                <w:iCs/>
                <w:sz w:val="18"/>
                <w:szCs w:val="18"/>
              </w:rPr>
              <w:t xml:space="preserve"> Catholic University of Eastern Africa</w:t>
            </w:r>
          </w:p>
          <w:p w14:paraId="6F9B3393" w14:textId="29A20F70" w:rsidR="00B05EF6" w:rsidRPr="00B77118" w:rsidRDefault="00B05EF6" w:rsidP="00094737">
            <w:pPr>
              <w:spacing w:after="0" w:line="240" w:lineRule="auto"/>
              <w:rPr>
                <w:rFonts w:ascii="Adobe Garamond Pro" w:eastAsia="Times New Roman" w:hAnsi="Adobe Garamond Pro" w:cs="Times New Roman"/>
                <w:sz w:val="18"/>
                <w:szCs w:val="18"/>
                <w:lang w:val="fr-CA"/>
              </w:rPr>
            </w:pPr>
            <w:r w:rsidRPr="00B77118">
              <w:rPr>
                <w:rFonts w:ascii="Adobe Garamond Pro" w:eastAsia="Times New Roman" w:hAnsi="Adobe Garamond Pro" w:cs="Times New Roman"/>
                <w:sz w:val="18"/>
                <w:szCs w:val="18"/>
                <w:lang w:val="fr-CA"/>
              </w:rPr>
              <w:t>Stan Chu Ilo</w:t>
            </w:r>
          </w:p>
          <w:p w14:paraId="4937039E" w14:textId="711A86B7" w:rsidR="00B05EF6" w:rsidRPr="00B77118" w:rsidRDefault="00B05EF6" w:rsidP="00094737">
            <w:pPr>
              <w:spacing w:after="0" w:line="240" w:lineRule="auto"/>
              <w:rPr>
                <w:rFonts w:ascii="Adobe Garamond Pro" w:eastAsia="Times New Roman" w:hAnsi="Adobe Garamond Pro" w:cs="Times New Roman"/>
                <w:i/>
                <w:iCs/>
                <w:sz w:val="18"/>
                <w:szCs w:val="18"/>
                <w:lang w:val="fr-CA"/>
              </w:rPr>
            </w:pPr>
            <w:r w:rsidRPr="00B77118">
              <w:rPr>
                <w:rFonts w:ascii="Adobe Garamond Pro" w:eastAsia="Times New Roman" w:hAnsi="Adobe Garamond Pro" w:cs="Times New Roman"/>
                <w:i/>
                <w:iCs/>
                <w:sz w:val="18"/>
                <w:szCs w:val="18"/>
                <w:lang w:val="fr-CA"/>
              </w:rPr>
              <w:t xml:space="preserve"> De Paul University</w:t>
            </w:r>
          </w:p>
          <w:p w14:paraId="2D868EDD" w14:textId="642BE72B" w:rsidR="00116315" w:rsidRDefault="00116315" w:rsidP="00094737">
            <w:pPr>
              <w:spacing w:after="0" w:line="240" w:lineRule="auto"/>
              <w:rPr>
                <w:rFonts w:ascii="Adobe Garamond Pro" w:eastAsia="Calibri" w:hAnsi="Adobe Garamond Pro" w:cs="Times New Roman"/>
                <w:i/>
                <w:iCs/>
                <w:noProof/>
                <w:sz w:val="18"/>
                <w:szCs w:val="18"/>
              </w:rPr>
            </w:pPr>
            <w:r w:rsidRPr="0077709D">
              <w:rPr>
                <w:rFonts w:ascii="Adobe Garamond Pro" w:eastAsia="Calibri" w:hAnsi="Adobe Garamond Pro" w:cs="Times New Roman"/>
                <w:noProof/>
                <w:sz w:val="18"/>
                <w:szCs w:val="18"/>
              </w:rPr>
              <w:t>Fohle Lygunda</w:t>
            </w:r>
            <w:r w:rsidRPr="0077709D">
              <w:rPr>
                <w:rFonts w:ascii="Adobe Garamond Pro" w:eastAsia="Calibri" w:hAnsi="Adobe Garamond Pro" w:cs="Times New Roman"/>
                <w:noProof/>
                <w:sz w:val="18"/>
                <w:szCs w:val="18"/>
              </w:rPr>
              <w:br/>
            </w:r>
            <w:r>
              <w:rPr>
                <w:rFonts w:ascii="Adobe Garamond Pro" w:eastAsia="Calibri" w:hAnsi="Adobe Garamond Pro" w:cs="Times New Roman"/>
                <w:i/>
                <w:iCs/>
                <w:noProof/>
                <w:sz w:val="18"/>
                <w:szCs w:val="18"/>
              </w:rPr>
              <w:t xml:space="preserve"> </w:t>
            </w:r>
            <w:r w:rsidRPr="0077709D">
              <w:rPr>
                <w:rFonts w:ascii="Adobe Garamond Pro" w:eastAsia="Calibri" w:hAnsi="Adobe Garamond Pro" w:cs="Times New Roman"/>
                <w:i/>
                <w:iCs/>
                <w:noProof/>
                <w:sz w:val="18"/>
                <w:szCs w:val="18"/>
              </w:rPr>
              <w:t>Africa Center for</w:t>
            </w:r>
            <w:r>
              <w:rPr>
                <w:rFonts w:ascii="Adobe Garamond Pro" w:eastAsia="Calibri" w:hAnsi="Adobe Garamond Pro" w:cs="Times New Roman"/>
                <w:i/>
                <w:iCs/>
                <w:noProof/>
                <w:sz w:val="18"/>
                <w:szCs w:val="18"/>
              </w:rPr>
              <w:t xml:space="preserve"> Interdisciplinary Studies</w:t>
            </w:r>
          </w:p>
          <w:p w14:paraId="03505B54" w14:textId="5D0E75DA" w:rsidR="00B05EF6" w:rsidRDefault="00B05EF6" w:rsidP="00094737">
            <w:pPr>
              <w:spacing w:after="0" w:line="240" w:lineRule="auto"/>
              <w:rPr>
                <w:rFonts w:ascii="Adobe Garamond Pro" w:eastAsia="Calibri" w:hAnsi="Adobe Garamond Pro" w:cs="Times New Roman"/>
                <w:noProof/>
                <w:sz w:val="18"/>
                <w:szCs w:val="18"/>
              </w:rPr>
            </w:pPr>
            <w:r>
              <w:rPr>
                <w:rFonts w:ascii="Adobe Garamond Pro" w:eastAsia="Calibri" w:hAnsi="Adobe Garamond Pro" w:cs="Times New Roman"/>
                <w:noProof/>
                <w:sz w:val="18"/>
                <w:szCs w:val="18"/>
              </w:rPr>
              <w:t>Kehinde Olabimtan</w:t>
            </w:r>
          </w:p>
          <w:p w14:paraId="0ECC1326" w14:textId="5A0EB585" w:rsidR="00B05EF6" w:rsidRPr="00B05EF6" w:rsidRDefault="00B05EF6" w:rsidP="00094737">
            <w:pPr>
              <w:spacing w:after="0" w:line="240" w:lineRule="auto"/>
              <w:rPr>
                <w:rFonts w:ascii="Adobe Garamond Pro" w:eastAsia="Calibri" w:hAnsi="Adobe Garamond Pro" w:cs="Times New Roman"/>
                <w:i/>
                <w:iCs/>
                <w:noProof/>
                <w:sz w:val="18"/>
                <w:szCs w:val="18"/>
              </w:rPr>
            </w:pPr>
            <w:r>
              <w:rPr>
                <w:rFonts w:ascii="Adobe Garamond Pro" w:eastAsia="Calibri" w:hAnsi="Adobe Garamond Pro" w:cs="Times New Roman"/>
                <w:noProof/>
                <w:sz w:val="18"/>
                <w:szCs w:val="18"/>
              </w:rPr>
              <w:t xml:space="preserve"> </w:t>
            </w:r>
            <w:r>
              <w:rPr>
                <w:rFonts w:ascii="Adobe Garamond Pro" w:eastAsia="Calibri" w:hAnsi="Adobe Garamond Pro" w:cs="Times New Roman"/>
                <w:i/>
                <w:iCs/>
                <w:noProof/>
                <w:sz w:val="18"/>
                <w:szCs w:val="18"/>
              </w:rPr>
              <w:t>St. Stephen’s College, University of Alberta</w:t>
            </w:r>
          </w:p>
          <w:p w14:paraId="0917346E" w14:textId="5A0EB585" w:rsidR="00116315" w:rsidRPr="0077709D" w:rsidRDefault="00116315" w:rsidP="00094737">
            <w:pPr>
              <w:spacing w:after="0" w:line="240" w:lineRule="auto"/>
              <w:rPr>
                <w:rFonts w:ascii="Adobe Garamond Pro" w:eastAsia="Times New Roman" w:hAnsi="Adobe Garamond Pro" w:cs="Times New Roman"/>
                <w:i/>
                <w:iCs/>
                <w:sz w:val="18"/>
                <w:szCs w:val="18"/>
              </w:rPr>
            </w:pPr>
          </w:p>
        </w:tc>
        <w:tc>
          <w:tcPr>
            <w:tcW w:w="2828" w:type="dxa"/>
          </w:tcPr>
          <w:p w14:paraId="504A8A42" w14:textId="25332968" w:rsidR="00116315" w:rsidRDefault="00116315" w:rsidP="00094737">
            <w:pPr>
              <w:spacing w:after="0" w:line="240" w:lineRule="auto"/>
              <w:rPr>
                <w:rFonts w:ascii="Adobe Garamond Pro" w:eastAsia="Times New Roman" w:hAnsi="Adobe Garamond Pro" w:cs="Times New Roman"/>
                <w:i/>
                <w:iCs/>
                <w:sz w:val="18"/>
                <w:szCs w:val="18"/>
              </w:rPr>
            </w:pPr>
            <w:r w:rsidRPr="00F60346">
              <w:rPr>
                <w:rFonts w:ascii="Adobe Garamond Pro" w:eastAsia="Times New Roman" w:hAnsi="Adobe Garamond Pro" w:cs="Times New Roman"/>
                <w:sz w:val="18"/>
                <w:szCs w:val="18"/>
              </w:rPr>
              <w:t>Kyama Mugambi</w:t>
            </w:r>
            <w:r>
              <w:rPr>
                <w:rFonts w:ascii="Adobe Garamond Pro" w:eastAsia="Times New Roman" w:hAnsi="Adobe Garamond Pro" w:cs="Times New Roman"/>
                <w:sz w:val="18"/>
                <w:szCs w:val="18"/>
              </w:rPr>
              <w:br/>
            </w:r>
            <w:r>
              <w:rPr>
                <w:rFonts w:ascii="Adobe Garamond Pro" w:eastAsia="Times New Roman" w:hAnsi="Adobe Garamond Pro" w:cs="Times New Roman"/>
                <w:i/>
                <w:iCs/>
                <w:sz w:val="18"/>
                <w:szCs w:val="18"/>
              </w:rPr>
              <w:t xml:space="preserve"> Yale University</w:t>
            </w:r>
            <w:r w:rsidRPr="00F60346">
              <w:rPr>
                <w:rFonts w:ascii="Adobe Garamond Pro" w:eastAsia="Times New Roman" w:hAnsi="Adobe Garamond Pro" w:cs="Times New Roman"/>
                <w:sz w:val="18"/>
                <w:szCs w:val="18"/>
              </w:rPr>
              <w:br/>
            </w:r>
          </w:p>
          <w:p w14:paraId="56A6F877" w14:textId="77777777" w:rsidR="00116315" w:rsidRDefault="00116315" w:rsidP="00094737">
            <w:pPr>
              <w:spacing w:after="0" w:line="240" w:lineRule="auto"/>
              <w:rPr>
                <w:rFonts w:ascii="Adobe Garamond Pro" w:eastAsia="Times New Roman" w:hAnsi="Adobe Garamond Pro" w:cs="Times New Roman"/>
                <w:b/>
                <w:sz w:val="18"/>
                <w:szCs w:val="18"/>
                <w:lang w:val="en-CA"/>
              </w:rPr>
            </w:pPr>
          </w:p>
          <w:p w14:paraId="5E96DC0C" w14:textId="77777777" w:rsidR="00116315" w:rsidRDefault="00116315" w:rsidP="00094737">
            <w:pPr>
              <w:spacing w:after="0" w:line="240" w:lineRule="auto"/>
              <w:rPr>
                <w:rFonts w:ascii="Adobe Garamond Pro" w:eastAsia="Times New Roman" w:hAnsi="Adobe Garamond Pro" w:cs="Times New Roman"/>
                <w:sz w:val="18"/>
                <w:szCs w:val="18"/>
                <w:lang w:val="en-CA"/>
              </w:rPr>
            </w:pPr>
            <w:r w:rsidRPr="0001588E">
              <w:rPr>
                <w:rFonts w:ascii="Adobe Garamond Pro" w:eastAsia="Times New Roman" w:hAnsi="Adobe Garamond Pro" w:cs="Times New Roman"/>
                <w:b/>
                <w:sz w:val="18"/>
                <w:szCs w:val="18"/>
                <w:lang w:val="en-CA"/>
              </w:rPr>
              <w:t>Contributing Editors</w:t>
            </w:r>
            <w:r w:rsidRPr="00F60346">
              <w:rPr>
                <w:rFonts w:ascii="Adobe Garamond Pro" w:eastAsia="Times New Roman" w:hAnsi="Adobe Garamond Pro" w:cs="Times New Roman"/>
                <w:sz w:val="18"/>
                <w:szCs w:val="18"/>
                <w:lang w:val="en-CA"/>
              </w:rPr>
              <w:br/>
              <w:t>James N. Amanze</w:t>
            </w:r>
          </w:p>
          <w:p w14:paraId="5C84AB00" w14:textId="77777777" w:rsidR="00116315" w:rsidRPr="002C26EC" w:rsidRDefault="00116315" w:rsidP="00094737">
            <w:pPr>
              <w:spacing w:after="0" w:line="240" w:lineRule="auto"/>
              <w:rPr>
                <w:rFonts w:ascii="Adobe Garamond Pro" w:eastAsia="Times New Roman" w:hAnsi="Adobe Garamond Pro" w:cs="Times New Roman"/>
                <w:i/>
                <w:iCs/>
                <w:sz w:val="18"/>
                <w:szCs w:val="18"/>
                <w:lang w:val="en-CA"/>
              </w:rPr>
            </w:pPr>
            <w:r>
              <w:rPr>
                <w:rFonts w:ascii="Adobe Garamond Pro" w:eastAsia="Times New Roman" w:hAnsi="Adobe Garamond Pro" w:cs="Times New Roman"/>
                <w:i/>
                <w:iCs/>
                <w:sz w:val="18"/>
                <w:szCs w:val="18"/>
                <w:lang w:val="en-CA"/>
              </w:rPr>
              <w:t xml:space="preserve"> University of Botswana</w:t>
            </w:r>
          </w:p>
          <w:p w14:paraId="68A0F564" w14:textId="77777777" w:rsidR="00116315" w:rsidRDefault="00116315" w:rsidP="00094737">
            <w:pPr>
              <w:spacing w:after="0" w:line="240" w:lineRule="auto"/>
              <w:rPr>
                <w:rFonts w:ascii="Adobe Garamond Pro" w:eastAsia="Times New Roman" w:hAnsi="Adobe Garamond Pro" w:cs="Times New Roman"/>
                <w:sz w:val="18"/>
                <w:szCs w:val="18"/>
                <w:lang w:val="en-CA"/>
              </w:rPr>
            </w:pPr>
            <w:r w:rsidRPr="00F60346">
              <w:rPr>
                <w:rFonts w:ascii="Adobe Garamond Pro" w:eastAsia="Times New Roman" w:hAnsi="Adobe Garamond Pro" w:cs="Times New Roman"/>
                <w:sz w:val="18"/>
                <w:szCs w:val="18"/>
                <w:lang w:val="en-CA"/>
              </w:rPr>
              <w:t>Deji Isaac Ayegboyin</w:t>
            </w:r>
          </w:p>
          <w:p w14:paraId="01F2E7BB" w14:textId="77777777" w:rsidR="00116315" w:rsidRPr="002C26EC" w:rsidRDefault="00116315" w:rsidP="00094737">
            <w:pPr>
              <w:spacing w:after="0" w:line="240" w:lineRule="auto"/>
              <w:rPr>
                <w:rFonts w:ascii="Adobe Garamond Pro" w:eastAsia="Times New Roman" w:hAnsi="Adobe Garamond Pro" w:cs="Times New Roman"/>
                <w:i/>
                <w:iCs/>
                <w:sz w:val="18"/>
                <w:szCs w:val="18"/>
                <w:lang w:val="en-CA"/>
              </w:rPr>
            </w:pPr>
            <w:r>
              <w:rPr>
                <w:rFonts w:ascii="Adobe Garamond Pro" w:eastAsia="Times New Roman" w:hAnsi="Adobe Garamond Pro" w:cs="Times New Roman"/>
                <w:i/>
                <w:iCs/>
                <w:sz w:val="18"/>
                <w:szCs w:val="18"/>
                <w:lang w:val="en-CA"/>
              </w:rPr>
              <w:t xml:space="preserve"> University of Ibadan</w:t>
            </w:r>
          </w:p>
          <w:p w14:paraId="5EB0A1B6" w14:textId="77777777" w:rsidR="00116315" w:rsidRDefault="00116315" w:rsidP="00094737">
            <w:pPr>
              <w:rPr>
                <w:rFonts w:ascii="Adobe Garamond Pro" w:eastAsia="Times New Roman" w:hAnsi="Adobe Garamond Pro" w:cs="Times New Roman"/>
                <w:i/>
                <w:iCs/>
                <w:sz w:val="18"/>
                <w:szCs w:val="18"/>
                <w:lang w:val="en-CA"/>
              </w:rPr>
            </w:pPr>
            <w:r w:rsidRPr="00F60346">
              <w:rPr>
                <w:rFonts w:ascii="Adobe Garamond Pro" w:eastAsia="Times New Roman" w:hAnsi="Adobe Garamond Pro" w:cs="Times New Roman"/>
                <w:sz w:val="18"/>
                <w:szCs w:val="18"/>
                <w:lang w:val="en-CA"/>
              </w:rPr>
              <w:t>Philomena Njeri Mwaura</w:t>
            </w:r>
            <w:r>
              <w:rPr>
                <w:rFonts w:ascii="Adobe Garamond Pro" w:eastAsia="Times New Roman" w:hAnsi="Adobe Garamond Pro" w:cs="Times New Roman"/>
                <w:sz w:val="18"/>
                <w:szCs w:val="18"/>
                <w:lang w:val="en-CA"/>
              </w:rPr>
              <w:br/>
            </w:r>
            <w:r>
              <w:rPr>
                <w:rFonts w:ascii="Adobe Garamond Pro" w:eastAsia="Times New Roman" w:hAnsi="Adobe Garamond Pro" w:cs="Times New Roman"/>
                <w:i/>
                <w:iCs/>
                <w:sz w:val="18"/>
                <w:szCs w:val="18"/>
                <w:lang w:val="en-CA"/>
              </w:rPr>
              <w:t xml:space="preserve"> Kenyatta University</w:t>
            </w:r>
            <w:r w:rsidRPr="00F60346">
              <w:rPr>
                <w:rFonts w:ascii="Adobe Garamond Pro" w:eastAsia="Times New Roman" w:hAnsi="Adobe Garamond Pro" w:cs="Times New Roman"/>
                <w:sz w:val="18"/>
                <w:szCs w:val="18"/>
                <w:lang w:val="en-CA"/>
              </w:rPr>
              <w:t xml:space="preserve"> </w:t>
            </w:r>
            <w:r w:rsidRPr="00F60346">
              <w:rPr>
                <w:rFonts w:ascii="Adobe Garamond Pro" w:eastAsia="Times New Roman" w:hAnsi="Adobe Garamond Pro" w:cs="Times New Roman"/>
                <w:sz w:val="18"/>
                <w:szCs w:val="18"/>
                <w:lang w:val="en-CA"/>
              </w:rPr>
              <w:br/>
              <w:t>Paul Nchoji Nkwi</w:t>
            </w:r>
            <w:r>
              <w:rPr>
                <w:rFonts w:ascii="Adobe Garamond Pro" w:eastAsia="Times New Roman" w:hAnsi="Adobe Garamond Pro" w:cs="Times New Roman"/>
                <w:sz w:val="18"/>
                <w:szCs w:val="18"/>
                <w:lang w:val="en-CA"/>
              </w:rPr>
              <w:br/>
            </w:r>
            <w:r>
              <w:rPr>
                <w:rFonts w:ascii="Adobe Garamond Pro" w:eastAsia="Times New Roman" w:hAnsi="Adobe Garamond Pro" w:cs="Times New Roman"/>
                <w:i/>
                <w:iCs/>
                <w:sz w:val="18"/>
                <w:szCs w:val="18"/>
                <w:lang w:val="en-CA"/>
              </w:rPr>
              <w:t xml:space="preserve"> Catholic University of Cameroon</w:t>
            </w:r>
            <w:r w:rsidRPr="00F60346">
              <w:rPr>
                <w:rFonts w:ascii="Adobe Garamond Pro" w:eastAsia="Times New Roman" w:hAnsi="Adobe Garamond Pro" w:cs="Times New Roman"/>
                <w:sz w:val="18"/>
                <w:szCs w:val="18"/>
                <w:lang w:val="en-CA"/>
              </w:rPr>
              <w:br/>
              <w:t>Olusegun Obasanjo</w:t>
            </w:r>
            <w:r>
              <w:rPr>
                <w:rFonts w:ascii="Adobe Garamond Pro" w:eastAsia="Times New Roman" w:hAnsi="Adobe Garamond Pro" w:cs="Times New Roman"/>
                <w:sz w:val="18"/>
                <w:szCs w:val="18"/>
                <w:lang w:val="en-CA"/>
              </w:rPr>
              <w:br/>
            </w:r>
            <w:r>
              <w:rPr>
                <w:rFonts w:ascii="Adobe Garamond Pro" w:eastAsia="Times New Roman" w:hAnsi="Adobe Garamond Pro" w:cs="Times New Roman"/>
                <w:i/>
                <w:iCs/>
                <w:sz w:val="18"/>
                <w:szCs w:val="18"/>
                <w:lang w:val="en-CA"/>
              </w:rPr>
              <w:t xml:space="preserve"> National Open University of Nigeria</w:t>
            </w:r>
            <w:r w:rsidRPr="00F60346">
              <w:rPr>
                <w:rFonts w:ascii="Adobe Garamond Pro" w:eastAsia="Times New Roman" w:hAnsi="Adobe Garamond Pro" w:cs="Times New Roman"/>
                <w:sz w:val="18"/>
                <w:szCs w:val="18"/>
                <w:lang w:val="en-CA"/>
              </w:rPr>
              <w:br/>
              <w:t>Thomas Oduro</w:t>
            </w:r>
            <w:r>
              <w:rPr>
                <w:rFonts w:ascii="Adobe Garamond Pro" w:eastAsia="Times New Roman" w:hAnsi="Adobe Garamond Pro" w:cs="Times New Roman"/>
                <w:sz w:val="18"/>
                <w:szCs w:val="18"/>
                <w:lang w:val="en-CA"/>
              </w:rPr>
              <w:br/>
            </w:r>
            <w:r>
              <w:rPr>
                <w:rFonts w:ascii="Adobe Garamond Pro" w:eastAsia="Times New Roman" w:hAnsi="Adobe Garamond Pro" w:cs="Times New Roman"/>
                <w:i/>
                <w:iCs/>
                <w:sz w:val="18"/>
                <w:szCs w:val="18"/>
                <w:lang w:val="en-CA"/>
              </w:rPr>
              <w:t xml:space="preserve"> Good News Theological College and Seminary</w:t>
            </w:r>
          </w:p>
          <w:p w14:paraId="13EDAF8C" w14:textId="549B8632" w:rsidR="00116315" w:rsidRPr="002C26EC" w:rsidRDefault="00116315" w:rsidP="00094737">
            <w:pPr>
              <w:rPr>
                <w:rFonts w:ascii="Adobe Garamond Pro" w:eastAsia="Times New Roman" w:hAnsi="Adobe Garamond Pro" w:cs="Times New Roman"/>
                <w:i/>
                <w:iCs/>
                <w:sz w:val="18"/>
                <w:szCs w:val="18"/>
                <w:lang w:val="en-CA"/>
              </w:rPr>
            </w:pPr>
          </w:p>
        </w:tc>
      </w:tr>
    </w:tbl>
    <w:p w14:paraId="06590F50" w14:textId="77777777" w:rsidR="00F67288" w:rsidRDefault="00F67288" w:rsidP="00094737">
      <w:pPr>
        <w:spacing w:after="0" w:line="240" w:lineRule="auto"/>
        <w:jc w:val="center"/>
        <w:rPr>
          <w:rFonts w:ascii="Bell MT" w:hAnsi="Bell MT"/>
          <w:bCs/>
          <w:sz w:val="20"/>
          <w:szCs w:val="20"/>
          <w:lang w:val="en-CA"/>
        </w:rPr>
      </w:pPr>
    </w:p>
    <w:p w14:paraId="0C5E3E1B" w14:textId="77777777" w:rsidR="00F67288" w:rsidRDefault="00F67288" w:rsidP="00094737">
      <w:pPr>
        <w:spacing w:after="0" w:line="240" w:lineRule="auto"/>
        <w:jc w:val="center"/>
        <w:rPr>
          <w:rFonts w:ascii="Bell MT" w:hAnsi="Bell MT"/>
          <w:bCs/>
          <w:sz w:val="20"/>
          <w:szCs w:val="20"/>
          <w:lang w:val="en-CA"/>
        </w:rPr>
      </w:pPr>
    </w:p>
    <w:p w14:paraId="6676FDB6" w14:textId="77777777" w:rsidR="007D6829" w:rsidRDefault="007D6829">
      <w:pPr>
        <w:spacing w:after="0" w:line="240" w:lineRule="auto"/>
        <w:jc w:val="center"/>
        <w:rPr>
          <w:rFonts w:ascii="Adobe Garamond Pro" w:hAnsi="Adobe Garamond Pro"/>
          <w:bCs/>
          <w:sz w:val="20"/>
          <w:szCs w:val="20"/>
          <w:lang w:val="en-CA"/>
        </w:rPr>
      </w:pPr>
      <w:r>
        <w:rPr>
          <w:rFonts w:ascii="Adobe Garamond Pro" w:hAnsi="Adobe Garamond Pro"/>
          <w:bCs/>
          <w:sz w:val="20"/>
          <w:szCs w:val="20"/>
          <w:lang w:val="en-CA"/>
        </w:rPr>
        <w:br w:type="page"/>
      </w:r>
    </w:p>
    <w:p w14:paraId="72F470F5" w14:textId="16A6DFD7" w:rsidR="00F60346" w:rsidRPr="00F67288" w:rsidRDefault="007D6829" w:rsidP="00094737">
      <w:pPr>
        <w:spacing w:after="0" w:line="240" w:lineRule="auto"/>
        <w:jc w:val="center"/>
        <w:rPr>
          <w:rFonts w:ascii="Adobe Garamond Pro" w:hAnsi="Adobe Garamond Pro"/>
          <w:bCs/>
          <w:sz w:val="20"/>
          <w:szCs w:val="20"/>
          <w:lang w:val="en-CA"/>
        </w:rPr>
      </w:pPr>
      <w:r>
        <w:rPr>
          <w:rFonts w:ascii="Adobe Garamond Pro" w:hAnsi="Adobe Garamond Pro"/>
          <w:bCs/>
          <w:sz w:val="20"/>
          <w:szCs w:val="20"/>
          <w:lang w:val="en-CA"/>
        </w:rPr>
        <w:lastRenderedPageBreak/>
        <w:t>[blank page]</w:t>
      </w:r>
      <w:r w:rsidR="00F60346" w:rsidRPr="00F67288">
        <w:rPr>
          <w:rFonts w:ascii="Adobe Garamond Pro" w:hAnsi="Adobe Garamond Pro"/>
          <w:bCs/>
          <w:sz w:val="20"/>
          <w:szCs w:val="20"/>
          <w:lang w:val="en-CA"/>
        </w:rPr>
        <w:br w:type="page"/>
      </w:r>
    </w:p>
    <w:sdt>
      <w:sdtPr>
        <w:rPr>
          <w:rFonts w:asciiTheme="minorHAnsi" w:eastAsiaTheme="minorHAnsi" w:hAnsiTheme="minorHAnsi" w:cstheme="minorBidi"/>
          <w:sz w:val="22"/>
          <w:szCs w:val="22"/>
        </w:rPr>
        <w:id w:val="-186676851"/>
        <w:docPartObj>
          <w:docPartGallery w:val="Table of Contents"/>
          <w:docPartUnique/>
        </w:docPartObj>
      </w:sdtPr>
      <w:sdtEndPr>
        <w:rPr>
          <w:b/>
          <w:bCs/>
          <w:noProof/>
        </w:rPr>
      </w:sdtEndPr>
      <w:sdtContent>
        <w:p w14:paraId="1D8A005F" w14:textId="57BCA0C4" w:rsidR="00D435C8" w:rsidRPr="004C6A81" w:rsidRDefault="00D435C8" w:rsidP="00094737">
          <w:pPr>
            <w:pStyle w:val="TOCHeading"/>
            <w:rPr>
              <w:rFonts w:ascii="Perpetua" w:hAnsi="Perpetua"/>
            </w:rPr>
          </w:pPr>
          <w:r w:rsidRPr="004C6A81">
            <w:rPr>
              <w:rFonts w:ascii="Perpetua" w:hAnsi="Perpetua"/>
            </w:rPr>
            <w:t>Table of Contents</w:t>
          </w:r>
        </w:p>
        <w:p w14:paraId="5794ADA0" w14:textId="21D9B223" w:rsidR="00CC6F6C" w:rsidRPr="004C6A81" w:rsidRDefault="00D435C8">
          <w:pPr>
            <w:pStyle w:val="TOC1"/>
            <w:tabs>
              <w:tab w:val="right" w:leader="dot" w:pos="6182"/>
            </w:tabs>
            <w:rPr>
              <w:rFonts w:ascii="Perpetua" w:eastAsiaTheme="minorEastAsia" w:hAnsi="Perpetua"/>
              <w:noProof/>
              <w:kern w:val="2"/>
              <w14:ligatures w14:val="standardContextual"/>
            </w:rPr>
          </w:pPr>
          <w:r w:rsidRPr="004C6A81">
            <w:rPr>
              <w:rFonts w:ascii="Perpetua" w:hAnsi="Perpetua"/>
            </w:rPr>
            <w:fldChar w:fldCharType="begin"/>
          </w:r>
          <w:r w:rsidRPr="004C6A81">
            <w:rPr>
              <w:rFonts w:ascii="Perpetua" w:hAnsi="Perpetua"/>
            </w:rPr>
            <w:instrText xml:space="preserve"> TOC \o "1-3" \h \z \u </w:instrText>
          </w:r>
          <w:r w:rsidRPr="004C6A81">
            <w:rPr>
              <w:rFonts w:ascii="Perpetua" w:hAnsi="Perpetua"/>
            </w:rPr>
            <w:fldChar w:fldCharType="separate"/>
          </w:r>
          <w:hyperlink w:anchor="_Toc158365913" w:history="1">
            <w:r w:rsidR="00CC6F6C" w:rsidRPr="004C6A81">
              <w:rPr>
                <w:rStyle w:val="Hyperlink"/>
                <w:rFonts w:ascii="Perpetua" w:hAnsi="Perpetua"/>
                <w:noProof/>
              </w:rPr>
              <w:t xml:space="preserve">Introduction: </w:t>
            </w:r>
            <w:r w:rsidR="00D8509F">
              <w:rPr>
                <w:rStyle w:val="Hyperlink"/>
                <w:rFonts w:ascii="Perpetua" w:hAnsi="Perpetua"/>
                <w:noProof/>
              </w:rPr>
              <w:t xml:space="preserve">The Surprising Discovery of </w:t>
            </w:r>
            <w:r w:rsidR="00CC6F6C" w:rsidRPr="004C6A81">
              <w:rPr>
                <w:rStyle w:val="Hyperlink"/>
                <w:rFonts w:ascii="Perpetua" w:hAnsi="Perpetua"/>
                <w:noProof/>
              </w:rPr>
              <w:t xml:space="preserve">Early African Christianity </w:t>
            </w:r>
            <w:r w:rsidR="007A791D">
              <w:rPr>
                <w:rStyle w:val="Hyperlink"/>
                <w:rFonts w:ascii="Perpetua" w:hAnsi="Perpetua"/>
                <w:noProof/>
              </w:rPr>
              <w:t>b</w:t>
            </w:r>
            <w:r w:rsidR="00CC6F6C" w:rsidRPr="004C6A81">
              <w:rPr>
                <w:rStyle w:val="Hyperlink"/>
                <w:rFonts w:ascii="Perpetua" w:hAnsi="Perpetua"/>
                <w:noProof/>
              </w:rPr>
              <w:t>y Michael Glerup</w:t>
            </w:r>
            <w:r w:rsidR="00CC6F6C" w:rsidRPr="004C6A81">
              <w:rPr>
                <w:rFonts w:ascii="Perpetua" w:hAnsi="Perpetua"/>
                <w:noProof/>
                <w:webHidden/>
              </w:rPr>
              <w:tab/>
            </w:r>
            <w:r w:rsidR="00CC6F6C" w:rsidRPr="004C6A81">
              <w:rPr>
                <w:rFonts w:ascii="Perpetua" w:hAnsi="Perpetua"/>
                <w:noProof/>
                <w:webHidden/>
              </w:rPr>
              <w:fldChar w:fldCharType="begin"/>
            </w:r>
            <w:r w:rsidR="00CC6F6C" w:rsidRPr="004C6A81">
              <w:rPr>
                <w:rFonts w:ascii="Perpetua" w:hAnsi="Perpetua"/>
                <w:noProof/>
                <w:webHidden/>
              </w:rPr>
              <w:instrText xml:space="preserve"> PAGEREF _Toc158365913 \h </w:instrText>
            </w:r>
            <w:r w:rsidR="00CC6F6C" w:rsidRPr="004C6A81">
              <w:rPr>
                <w:rFonts w:ascii="Perpetua" w:hAnsi="Perpetua"/>
                <w:noProof/>
                <w:webHidden/>
              </w:rPr>
            </w:r>
            <w:r w:rsidR="00CC6F6C" w:rsidRPr="004C6A81">
              <w:rPr>
                <w:rFonts w:ascii="Perpetua" w:hAnsi="Perpetua"/>
                <w:noProof/>
                <w:webHidden/>
              </w:rPr>
              <w:fldChar w:fldCharType="separate"/>
            </w:r>
            <w:r w:rsidR="00E45BA9">
              <w:rPr>
                <w:rFonts w:ascii="Perpetua" w:hAnsi="Perpetua"/>
                <w:noProof/>
                <w:webHidden/>
              </w:rPr>
              <w:t>1</w:t>
            </w:r>
            <w:r w:rsidR="00CC6F6C" w:rsidRPr="004C6A81">
              <w:rPr>
                <w:rFonts w:ascii="Perpetua" w:hAnsi="Perpetua"/>
                <w:noProof/>
                <w:webHidden/>
              </w:rPr>
              <w:fldChar w:fldCharType="end"/>
            </w:r>
          </w:hyperlink>
        </w:p>
        <w:p w14:paraId="7DD5C4A3" w14:textId="558CF0FE" w:rsidR="00CC6F6C" w:rsidRPr="004C6A81" w:rsidRDefault="00000000">
          <w:pPr>
            <w:pStyle w:val="TOC1"/>
            <w:tabs>
              <w:tab w:val="right" w:leader="dot" w:pos="6182"/>
            </w:tabs>
            <w:rPr>
              <w:rFonts w:ascii="Perpetua" w:eastAsiaTheme="minorEastAsia" w:hAnsi="Perpetua"/>
              <w:noProof/>
              <w:kern w:val="2"/>
              <w14:ligatures w14:val="standardContextual"/>
            </w:rPr>
          </w:pPr>
          <w:hyperlink w:anchor="_Toc158365914" w:history="1">
            <w:r w:rsidR="00CC6F6C" w:rsidRPr="004C6A81">
              <w:rPr>
                <w:rStyle w:val="Hyperlink"/>
                <w:rFonts w:ascii="Perpetua" w:hAnsi="Perpetua"/>
                <w:noProof/>
              </w:rPr>
              <w:t xml:space="preserve">Does Early African Christianity Matter Today? </w:t>
            </w:r>
            <w:r w:rsidR="007A791D">
              <w:rPr>
                <w:rStyle w:val="Hyperlink"/>
                <w:rFonts w:ascii="Perpetua" w:hAnsi="Perpetua"/>
                <w:noProof/>
              </w:rPr>
              <w:t>b</w:t>
            </w:r>
            <w:r w:rsidR="00CC6F6C" w:rsidRPr="004C6A81">
              <w:rPr>
                <w:rStyle w:val="Hyperlink"/>
                <w:rFonts w:ascii="Perpetua" w:hAnsi="Perpetua"/>
                <w:noProof/>
              </w:rPr>
              <w:t xml:space="preserve">y Andrew F. Walls  </w:t>
            </w:r>
            <w:r w:rsidR="00CC6F6C" w:rsidRPr="004C6A81">
              <w:rPr>
                <w:rStyle w:val="Hyperlink"/>
                <w:rFonts w:ascii="Perpetua" w:eastAsia="Calibri" w:hAnsi="Perpetua"/>
                <w:noProof/>
              </w:rPr>
              <w:t>(April 21, 1928 – August 12, 2021)</w:t>
            </w:r>
            <w:r w:rsidR="00CC6F6C" w:rsidRPr="004C6A81">
              <w:rPr>
                <w:rFonts w:ascii="Perpetua" w:hAnsi="Perpetua"/>
                <w:noProof/>
                <w:webHidden/>
              </w:rPr>
              <w:tab/>
            </w:r>
            <w:r w:rsidR="00CC6F6C" w:rsidRPr="004C6A81">
              <w:rPr>
                <w:rFonts w:ascii="Perpetua" w:hAnsi="Perpetua"/>
                <w:noProof/>
                <w:webHidden/>
              </w:rPr>
              <w:fldChar w:fldCharType="begin"/>
            </w:r>
            <w:r w:rsidR="00CC6F6C" w:rsidRPr="004C6A81">
              <w:rPr>
                <w:rFonts w:ascii="Perpetua" w:hAnsi="Perpetua"/>
                <w:noProof/>
                <w:webHidden/>
              </w:rPr>
              <w:instrText xml:space="preserve"> PAGEREF _Toc158365914 \h </w:instrText>
            </w:r>
            <w:r w:rsidR="00CC6F6C" w:rsidRPr="004C6A81">
              <w:rPr>
                <w:rFonts w:ascii="Perpetua" w:hAnsi="Perpetua"/>
                <w:noProof/>
                <w:webHidden/>
              </w:rPr>
            </w:r>
            <w:r w:rsidR="00CC6F6C" w:rsidRPr="004C6A81">
              <w:rPr>
                <w:rFonts w:ascii="Perpetua" w:hAnsi="Perpetua"/>
                <w:noProof/>
                <w:webHidden/>
              </w:rPr>
              <w:fldChar w:fldCharType="separate"/>
            </w:r>
            <w:r w:rsidR="00E45BA9">
              <w:rPr>
                <w:rFonts w:ascii="Perpetua" w:hAnsi="Perpetua"/>
                <w:noProof/>
                <w:webHidden/>
              </w:rPr>
              <w:t>4</w:t>
            </w:r>
            <w:r w:rsidR="00CC6F6C" w:rsidRPr="004C6A81">
              <w:rPr>
                <w:rFonts w:ascii="Perpetua" w:hAnsi="Perpetua"/>
                <w:noProof/>
                <w:webHidden/>
              </w:rPr>
              <w:fldChar w:fldCharType="end"/>
            </w:r>
          </w:hyperlink>
        </w:p>
        <w:p w14:paraId="617F6B68" w14:textId="5563ADDA" w:rsidR="00CC6F6C" w:rsidRPr="004C6A81" w:rsidRDefault="00000000">
          <w:pPr>
            <w:pStyle w:val="TOC2"/>
            <w:tabs>
              <w:tab w:val="right" w:leader="dot" w:pos="6182"/>
            </w:tabs>
            <w:rPr>
              <w:rFonts w:ascii="Perpetua" w:eastAsiaTheme="minorEastAsia" w:hAnsi="Perpetua"/>
              <w:noProof/>
              <w:kern w:val="2"/>
              <w14:ligatures w14:val="standardContextual"/>
            </w:rPr>
          </w:pPr>
          <w:hyperlink w:anchor="_Toc158365916" w:history="1">
            <w:r w:rsidR="00CC6F6C" w:rsidRPr="004C6A81">
              <w:rPr>
                <w:rStyle w:val="Hyperlink"/>
                <w:rFonts w:ascii="Perpetua" w:eastAsia="Calibri" w:hAnsi="Perpetua"/>
                <w:noProof/>
              </w:rPr>
              <w:t>Quodvultdeus of Carthage by David L. Eastman</w:t>
            </w:r>
            <w:r w:rsidR="00CC6F6C" w:rsidRPr="004C6A81">
              <w:rPr>
                <w:rFonts w:ascii="Perpetua" w:hAnsi="Perpetua"/>
                <w:noProof/>
                <w:webHidden/>
              </w:rPr>
              <w:tab/>
            </w:r>
            <w:r w:rsidR="00CC6F6C" w:rsidRPr="004C6A81">
              <w:rPr>
                <w:rFonts w:ascii="Perpetua" w:hAnsi="Perpetua"/>
                <w:noProof/>
                <w:webHidden/>
              </w:rPr>
              <w:fldChar w:fldCharType="begin"/>
            </w:r>
            <w:r w:rsidR="00CC6F6C" w:rsidRPr="004C6A81">
              <w:rPr>
                <w:rFonts w:ascii="Perpetua" w:hAnsi="Perpetua"/>
                <w:noProof/>
                <w:webHidden/>
              </w:rPr>
              <w:instrText xml:space="preserve"> PAGEREF _Toc158365916 \h </w:instrText>
            </w:r>
            <w:r w:rsidR="00CC6F6C" w:rsidRPr="004C6A81">
              <w:rPr>
                <w:rFonts w:ascii="Perpetua" w:hAnsi="Perpetua"/>
                <w:noProof/>
                <w:webHidden/>
              </w:rPr>
            </w:r>
            <w:r w:rsidR="00CC6F6C" w:rsidRPr="004C6A81">
              <w:rPr>
                <w:rFonts w:ascii="Perpetua" w:hAnsi="Perpetua"/>
                <w:noProof/>
                <w:webHidden/>
              </w:rPr>
              <w:fldChar w:fldCharType="separate"/>
            </w:r>
            <w:r w:rsidR="00E45BA9">
              <w:rPr>
                <w:rFonts w:ascii="Perpetua" w:hAnsi="Perpetua"/>
                <w:noProof/>
                <w:webHidden/>
              </w:rPr>
              <w:t>14</w:t>
            </w:r>
            <w:r w:rsidR="00CC6F6C" w:rsidRPr="004C6A81">
              <w:rPr>
                <w:rFonts w:ascii="Perpetua" w:hAnsi="Perpetua"/>
                <w:noProof/>
                <w:webHidden/>
              </w:rPr>
              <w:fldChar w:fldCharType="end"/>
            </w:r>
          </w:hyperlink>
        </w:p>
        <w:p w14:paraId="7048543D" w14:textId="71B02CAC" w:rsidR="00CC6F6C" w:rsidRPr="004C6A81" w:rsidRDefault="00000000">
          <w:pPr>
            <w:pStyle w:val="TOC2"/>
            <w:tabs>
              <w:tab w:val="right" w:leader="dot" w:pos="6182"/>
            </w:tabs>
            <w:rPr>
              <w:rFonts w:ascii="Perpetua" w:eastAsiaTheme="minorEastAsia" w:hAnsi="Perpetua"/>
              <w:noProof/>
              <w:kern w:val="2"/>
              <w14:ligatures w14:val="standardContextual"/>
            </w:rPr>
          </w:pPr>
          <w:hyperlink w:anchor="_Toc158365917" w:history="1">
            <w:r w:rsidR="00CC6F6C" w:rsidRPr="004C6A81">
              <w:rPr>
                <w:rStyle w:val="Hyperlink"/>
                <w:rFonts w:ascii="Perpetua" w:eastAsia="Calibri" w:hAnsi="Perpetua"/>
                <w:noProof/>
              </w:rPr>
              <w:t>Hadrian of Canterbury by Michael Glerup</w:t>
            </w:r>
            <w:r w:rsidR="00CC6F6C" w:rsidRPr="004C6A81">
              <w:rPr>
                <w:rFonts w:ascii="Perpetua" w:hAnsi="Perpetua"/>
                <w:noProof/>
                <w:webHidden/>
              </w:rPr>
              <w:tab/>
            </w:r>
            <w:r w:rsidR="00CC6F6C" w:rsidRPr="004C6A81">
              <w:rPr>
                <w:rFonts w:ascii="Perpetua" w:hAnsi="Perpetua"/>
                <w:noProof/>
                <w:webHidden/>
              </w:rPr>
              <w:fldChar w:fldCharType="begin"/>
            </w:r>
            <w:r w:rsidR="00CC6F6C" w:rsidRPr="004C6A81">
              <w:rPr>
                <w:rFonts w:ascii="Perpetua" w:hAnsi="Perpetua"/>
                <w:noProof/>
                <w:webHidden/>
              </w:rPr>
              <w:instrText xml:space="preserve"> PAGEREF _Toc158365917 \h </w:instrText>
            </w:r>
            <w:r w:rsidR="00CC6F6C" w:rsidRPr="004C6A81">
              <w:rPr>
                <w:rFonts w:ascii="Perpetua" w:hAnsi="Perpetua"/>
                <w:noProof/>
                <w:webHidden/>
              </w:rPr>
            </w:r>
            <w:r w:rsidR="00CC6F6C" w:rsidRPr="004C6A81">
              <w:rPr>
                <w:rFonts w:ascii="Perpetua" w:hAnsi="Perpetua"/>
                <w:noProof/>
                <w:webHidden/>
              </w:rPr>
              <w:fldChar w:fldCharType="separate"/>
            </w:r>
            <w:r w:rsidR="00E45BA9">
              <w:rPr>
                <w:rFonts w:ascii="Perpetua" w:hAnsi="Perpetua"/>
                <w:noProof/>
                <w:webHidden/>
              </w:rPr>
              <w:t>16</w:t>
            </w:r>
            <w:r w:rsidR="00CC6F6C" w:rsidRPr="004C6A81">
              <w:rPr>
                <w:rFonts w:ascii="Perpetua" w:hAnsi="Perpetua"/>
                <w:noProof/>
                <w:webHidden/>
              </w:rPr>
              <w:fldChar w:fldCharType="end"/>
            </w:r>
          </w:hyperlink>
        </w:p>
        <w:p w14:paraId="21D491BC" w14:textId="5E3F5069" w:rsidR="00CC6F6C" w:rsidRPr="004C6A81" w:rsidRDefault="00000000">
          <w:pPr>
            <w:pStyle w:val="TOC2"/>
            <w:tabs>
              <w:tab w:val="right" w:leader="dot" w:pos="6182"/>
            </w:tabs>
            <w:rPr>
              <w:rFonts w:ascii="Perpetua" w:eastAsiaTheme="minorEastAsia" w:hAnsi="Perpetua"/>
              <w:noProof/>
              <w:kern w:val="2"/>
              <w14:ligatures w14:val="standardContextual"/>
            </w:rPr>
          </w:pPr>
          <w:hyperlink w:anchor="_Toc158365918" w:history="1">
            <w:r w:rsidR="00CC6F6C" w:rsidRPr="004C6A81">
              <w:rPr>
                <w:rStyle w:val="Hyperlink"/>
                <w:rFonts w:ascii="Perpetua" w:eastAsia="Calibri" w:hAnsi="Perpetua"/>
                <w:noProof/>
              </w:rPr>
              <w:t>Giyorgis of Sagla</w:t>
            </w:r>
            <w:r w:rsidR="007A791D">
              <w:rPr>
                <w:rStyle w:val="Hyperlink"/>
                <w:rFonts w:ascii="Perpetua" w:eastAsia="Calibri" w:hAnsi="Perpetua"/>
                <w:noProof/>
              </w:rPr>
              <w:t xml:space="preserve"> by Vince L. Bantu</w:t>
            </w:r>
            <w:r w:rsidR="00CC6F6C" w:rsidRPr="004C6A81">
              <w:rPr>
                <w:rFonts w:ascii="Perpetua" w:hAnsi="Perpetua"/>
                <w:noProof/>
                <w:webHidden/>
              </w:rPr>
              <w:tab/>
            </w:r>
            <w:r w:rsidR="00CC6F6C" w:rsidRPr="004C6A81">
              <w:rPr>
                <w:rFonts w:ascii="Perpetua" w:hAnsi="Perpetua"/>
                <w:noProof/>
                <w:webHidden/>
              </w:rPr>
              <w:fldChar w:fldCharType="begin"/>
            </w:r>
            <w:r w:rsidR="00CC6F6C" w:rsidRPr="004C6A81">
              <w:rPr>
                <w:rFonts w:ascii="Perpetua" w:hAnsi="Perpetua"/>
                <w:noProof/>
                <w:webHidden/>
              </w:rPr>
              <w:instrText xml:space="preserve"> PAGEREF _Toc158365918 \h </w:instrText>
            </w:r>
            <w:r w:rsidR="00CC6F6C" w:rsidRPr="004C6A81">
              <w:rPr>
                <w:rFonts w:ascii="Perpetua" w:hAnsi="Perpetua"/>
                <w:noProof/>
                <w:webHidden/>
              </w:rPr>
            </w:r>
            <w:r w:rsidR="00CC6F6C" w:rsidRPr="004C6A81">
              <w:rPr>
                <w:rFonts w:ascii="Perpetua" w:hAnsi="Perpetua"/>
                <w:noProof/>
                <w:webHidden/>
              </w:rPr>
              <w:fldChar w:fldCharType="separate"/>
            </w:r>
            <w:r w:rsidR="00E45BA9">
              <w:rPr>
                <w:rFonts w:ascii="Perpetua" w:hAnsi="Perpetua"/>
                <w:noProof/>
                <w:webHidden/>
              </w:rPr>
              <w:t>19</w:t>
            </w:r>
            <w:r w:rsidR="00CC6F6C" w:rsidRPr="004C6A81">
              <w:rPr>
                <w:rFonts w:ascii="Perpetua" w:hAnsi="Perpetua"/>
                <w:noProof/>
                <w:webHidden/>
              </w:rPr>
              <w:fldChar w:fldCharType="end"/>
            </w:r>
          </w:hyperlink>
        </w:p>
        <w:p w14:paraId="72E7B096" w14:textId="245DF958" w:rsidR="00CC6F6C" w:rsidRPr="004C6A81" w:rsidRDefault="00000000">
          <w:pPr>
            <w:pStyle w:val="TOC1"/>
            <w:tabs>
              <w:tab w:val="right" w:leader="dot" w:pos="6182"/>
            </w:tabs>
            <w:rPr>
              <w:rFonts w:ascii="Perpetua" w:eastAsiaTheme="minorEastAsia" w:hAnsi="Perpetua"/>
              <w:noProof/>
              <w:kern w:val="2"/>
              <w14:ligatures w14:val="standardContextual"/>
            </w:rPr>
          </w:pPr>
          <w:hyperlink w:anchor="_Toc158365919" w:history="1">
            <w:r w:rsidR="00CC6F6C" w:rsidRPr="004C6A81">
              <w:rPr>
                <w:rStyle w:val="Hyperlink"/>
                <w:rFonts w:ascii="Perpetua" w:eastAsia="Calibri" w:hAnsi="Perpetua"/>
                <w:noProof/>
              </w:rPr>
              <w:t>A Selection of Early Christian Figures from the DACB Collection.</w:t>
            </w:r>
            <w:r w:rsidR="00CC6F6C" w:rsidRPr="004C6A81">
              <w:rPr>
                <w:rFonts w:ascii="Perpetua" w:hAnsi="Perpetua"/>
                <w:noProof/>
                <w:webHidden/>
              </w:rPr>
              <w:tab/>
            </w:r>
            <w:r w:rsidR="00CC6F6C" w:rsidRPr="004C6A81">
              <w:rPr>
                <w:rFonts w:ascii="Perpetua" w:hAnsi="Perpetua"/>
                <w:noProof/>
                <w:webHidden/>
              </w:rPr>
              <w:fldChar w:fldCharType="begin"/>
            </w:r>
            <w:r w:rsidR="00CC6F6C" w:rsidRPr="004C6A81">
              <w:rPr>
                <w:rFonts w:ascii="Perpetua" w:hAnsi="Perpetua"/>
                <w:noProof/>
                <w:webHidden/>
              </w:rPr>
              <w:instrText xml:space="preserve"> PAGEREF _Toc158365919 \h </w:instrText>
            </w:r>
            <w:r w:rsidR="00CC6F6C" w:rsidRPr="004C6A81">
              <w:rPr>
                <w:rFonts w:ascii="Perpetua" w:hAnsi="Perpetua"/>
                <w:noProof/>
                <w:webHidden/>
              </w:rPr>
            </w:r>
            <w:r w:rsidR="00CC6F6C" w:rsidRPr="004C6A81">
              <w:rPr>
                <w:rFonts w:ascii="Perpetua" w:hAnsi="Perpetua"/>
                <w:noProof/>
                <w:webHidden/>
              </w:rPr>
              <w:fldChar w:fldCharType="separate"/>
            </w:r>
            <w:r w:rsidR="00E45BA9">
              <w:rPr>
                <w:rFonts w:ascii="Perpetua" w:hAnsi="Perpetua"/>
                <w:noProof/>
                <w:webHidden/>
              </w:rPr>
              <w:t>21</w:t>
            </w:r>
            <w:r w:rsidR="00CC6F6C" w:rsidRPr="004C6A81">
              <w:rPr>
                <w:rFonts w:ascii="Perpetua" w:hAnsi="Perpetua"/>
                <w:noProof/>
                <w:webHidden/>
              </w:rPr>
              <w:fldChar w:fldCharType="end"/>
            </w:r>
          </w:hyperlink>
        </w:p>
        <w:p w14:paraId="3D6E5BC9" w14:textId="04EE0FE3" w:rsidR="00CC6F6C" w:rsidRPr="004C6A81" w:rsidRDefault="00000000">
          <w:pPr>
            <w:pStyle w:val="TOC1"/>
            <w:tabs>
              <w:tab w:val="right" w:leader="dot" w:pos="6182"/>
            </w:tabs>
            <w:rPr>
              <w:rFonts w:ascii="Perpetua" w:eastAsiaTheme="minorEastAsia" w:hAnsi="Perpetua"/>
              <w:noProof/>
              <w:kern w:val="2"/>
              <w14:ligatures w14:val="standardContextual"/>
            </w:rPr>
          </w:pPr>
          <w:hyperlink w:anchor="_Toc158365920" w:history="1">
            <w:r w:rsidR="00CC6F6C" w:rsidRPr="004C6A81">
              <w:rPr>
                <w:rStyle w:val="Hyperlink"/>
                <w:rFonts w:ascii="Perpetua" w:hAnsi="Perpetua"/>
                <w:noProof/>
              </w:rPr>
              <w:t>Interview: Lamin Sanneh on Thomas Oden</w:t>
            </w:r>
            <w:r w:rsidR="00CC6F6C" w:rsidRPr="004C6A81">
              <w:rPr>
                <w:rFonts w:ascii="Perpetua" w:hAnsi="Perpetua"/>
                <w:noProof/>
                <w:webHidden/>
              </w:rPr>
              <w:tab/>
            </w:r>
            <w:r w:rsidR="00CC6F6C" w:rsidRPr="004C6A81">
              <w:rPr>
                <w:rFonts w:ascii="Perpetua" w:hAnsi="Perpetua"/>
                <w:noProof/>
                <w:webHidden/>
              </w:rPr>
              <w:fldChar w:fldCharType="begin"/>
            </w:r>
            <w:r w:rsidR="00CC6F6C" w:rsidRPr="004C6A81">
              <w:rPr>
                <w:rFonts w:ascii="Perpetua" w:hAnsi="Perpetua"/>
                <w:noProof/>
                <w:webHidden/>
              </w:rPr>
              <w:instrText xml:space="preserve"> PAGEREF _Toc158365920 \h </w:instrText>
            </w:r>
            <w:r w:rsidR="00CC6F6C" w:rsidRPr="004C6A81">
              <w:rPr>
                <w:rFonts w:ascii="Perpetua" w:hAnsi="Perpetua"/>
                <w:noProof/>
                <w:webHidden/>
              </w:rPr>
            </w:r>
            <w:r w:rsidR="00CC6F6C" w:rsidRPr="004C6A81">
              <w:rPr>
                <w:rFonts w:ascii="Perpetua" w:hAnsi="Perpetua"/>
                <w:noProof/>
                <w:webHidden/>
              </w:rPr>
              <w:fldChar w:fldCharType="separate"/>
            </w:r>
            <w:r w:rsidR="00E45BA9">
              <w:rPr>
                <w:rFonts w:ascii="Perpetua" w:hAnsi="Perpetua"/>
                <w:noProof/>
                <w:webHidden/>
              </w:rPr>
              <w:t>43</w:t>
            </w:r>
            <w:r w:rsidR="00CC6F6C" w:rsidRPr="004C6A81">
              <w:rPr>
                <w:rFonts w:ascii="Perpetua" w:hAnsi="Perpetua"/>
                <w:noProof/>
                <w:webHidden/>
              </w:rPr>
              <w:fldChar w:fldCharType="end"/>
            </w:r>
          </w:hyperlink>
        </w:p>
        <w:p w14:paraId="4DC3FA12" w14:textId="3A0B5FD6" w:rsidR="00CC6F6C" w:rsidRPr="004C6A81" w:rsidRDefault="00000000">
          <w:pPr>
            <w:pStyle w:val="TOC1"/>
            <w:tabs>
              <w:tab w:val="right" w:leader="dot" w:pos="6182"/>
            </w:tabs>
            <w:rPr>
              <w:rFonts w:ascii="Perpetua" w:eastAsiaTheme="minorEastAsia" w:hAnsi="Perpetua"/>
              <w:noProof/>
              <w:kern w:val="2"/>
              <w14:ligatures w14:val="standardContextual"/>
            </w:rPr>
          </w:pPr>
          <w:hyperlink w:anchor="_Toc158365921" w:history="1">
            <w:r w:rsidR="00CC6F6C" w:rsidRPr="004C6A81">
              <w:rPr>
                <w:rStyle w:val="Hyperlink"/>
                <w:rFonts w:ascii="Perpetua" w:hAnsi="Perpetua"/>
                <w:noProof/>
              </w:rPr>
              <w:t xml:space="preserve">Book Highlight: Thomas Oden’s </w:t>
            </w:r>
            <w:r w:rsidR="00CC6F6C" w:rsidRPr="004C6A81">
              <w:rPr>
                <w:rStyle w:val="Hyperlink"/>
                <w:rFonts w:ascii="Perpetua" w:hAnsi="Perpetua"/>
                <w:i/>
                <w:iCs/>
                <w:noProof/>
              </w:rPr>
              <w:t>African Memory of Mark</w:t>
            </w:r>
            <w:r w:rsidR="00CC6F6C" w:rsidRPr="004C6A81">
              <w:rPr>
                <w:rFonts w:ascii="Perpetua" w:hAnsi="Perpetua"/>
                <w:noProof/>
                <w:webHidden/>
              </w:rPr>
              <w:tab/>
            </w:r>
            <w:r w:rsidR="00CC6F6C" w:rsidRPr="004C6A81">
              <w:rPr>
                <w:rFonts w:ascii="Perpetua" w:hAnsi="Perpetua"/>
                <w:noProof/>
                <w:webHidden/>
              </w:rPr>
              <w:fldChar w:fldCharType="begin"/>
            </w:r>
            <w:r w:rsidR="00CC6F6C" w:rsidRPr="004C6A81">
              <w:rPr>
                <w:rFonts w:ascii="Perpetua" w:hAnsi="Perpetua"/>
                <w:noProof/>
                <w:webHidden/>
              </w:rPr>
              <w:instrText xml:space="preserve"> PAGEREF _Toc158365921 \h </w:instrText>
            </w:r>
            <w:r w:rsidR="00CC6F6C" w:rsidRPr="004C6A81">
              <w:rPr>
                <w:rFonts w:ascii="Perpetua" w:hAnsi="Perpetua"/>
                <w:noProof/>
                <w:webHidden/>
              </w:rPr>
            </w:r>
            <w:r w:rsidR="00CC6F6C" w:rsidRPr="004C6A81">
              <w:rPr>
                <w:rFonts w:ascii="Perpetua" w:hAnsi="Perpetua"/>
                <w:noProof/>
                <w:webHidden/>
              </w:rPr>
              <w:fldChar w:fldCharType="separate"/>
            </w:r>
            <w:r w:rsidR="00E45BA9">
              <w:rPr>
                <w:rFonts w:ascii="Perpetua" w:hAnsi="Perpetua"/>
                <w:noProof/>
                <w:webHidden/>
              </w:rPr>
              <w:t>45</w:t>
            </w:r>
            <w:r w:rsidR="00CC6F6C" w:rsidRPr="004C6A81">
              <w:rPr>
                <w:rFonts w:ascii="Perpetua" w:hAnsi="Perpetua"/>
                <w:noProof/>
                <w:webHidden/>
              </w:rPr>
              <w:fldChar w:fldCharType="end"/>
            </w:r>
          </w:hyperlink>
        </w:p>
        <w:p w14:paraId="725D6C63" w14:textId="7F21F364" w:rsidR="00CC6F6C" w:rsidRPr="004C6A81" w:rsidRDefault="00000000">
          <w:pPr>
            <w:pStyle w:val="TOC1"/>
            <w:tabs>
              <w:tab w:val="right" w:leader="dot" w:pos="6182"/>
            </w:tabs>
            <w:rPr>
              <w:rFonts w:ascii="Perpetua" w:eastAsiaTheme="minorEastAsia" w:hAnsi="Perpetua"/>
              <w:noProof/>
              <w:kern w:val="2"/>
              <w14:ligatures w14:val="standardContextual"/>
            </w:rPr>
          </w:pPr>
          <w:hyperlink w:anchor="_Toc158365922" w:history="1">
            <w:r w:rsidR="00CC6F6C" w:rsidRPr="004C6A81">
              <w:rPr>
                <w:rStyle w:val="Hyperlink"/>
                <w:rFonts w:ascii="Perpetua" w:hAnsi="Perpetua"/>
                <w:noProof/>
              </w:rPr>
              <w:t xml:space="preserve">Book Series Highlight: Christopher Hall’s </w:t>
            </w:r>
            <w:r w:rsidR="00CC6F6C" w:rsidRPr="004C6A81">
              <w:rPr>
                <w:rStyle w:val="Hyperlink"/>
                <w:rFonts w:ascii="Perpetua" w:hAnsi="Perpetua"/>
                <w:i/>
                <w:iCs/>
                <w:noProof/>
              </w:rPr>
              <w:t>We Believe</w:t>
            </w:r>
            <w:r w:rsidR="00CC6F6C" w:rsidRPr="004C6A81">
              <w:rPr>
                <w:rFonts w:ascii="Perpetua" w:hAnsi="Perpetua"/>
                <w:noProof/>
                <w:webHidden/>
              </w:rPr>
              <w:tab/>
            </w:r>
            <w:r w:rsidR="00CC6F6C" w:rsidRPr="004C6A81">
              <w:rPr>
                <w:rFonts w:ascii="Perpetua" w:hAnsi="Perpetua"/>
                <w:noProof/>
                <w:webHidden/>
              </w:rPr>
              <w:fldChar w:fldCharType="begin"/>
            </w:r>
            <w:r w:rsidR="00CC6F6C" w:rsidRPr="004C6A81">
              <w:rPr>
                <w:rFonts w:ascii="Perpetua" w:hAnsi="Perpetua"/>
                <w:noProof/>
                <w:webHidden/>
              </w:rPr>
              <w:instrText xml:space="preserve"> PAGEREF _Toc158365922 \h </w:instrText>
            </w:r>
            <w:r w:rsidR="00CC6F6C" w:rsidRPr="004C6A81">
              <w:rPr>
                <w:rFonts w:ascii="Perpetua" w:hAnsi="Perpetua"/>
                <w:noProof/>
                <w:webHidden/>
              </w:rPr>
            </w:r>
            <w:r w:rsidR="00CC6F6C" w:rsidRPr="004C6A81">
              <w:rPr>
                <w:rFonts w:ascii="Perpetua" w:hAnsi="Perpetua"/>
                <w:noProof/>
                <w:webHidden/>
              </w:rPr>
              <w:fldChar w:fldCharType="separate"/>
            </w:r>
            <w:r w:rsidR="00E45BA9">
              <w:rPr>
                <w:rFonts w:ascii="Perpetua" w:hAnsi="Perpetua"/>
                <w:noProof/>
                <w:webHidden/>
              </w:rPr>
              <w:t>49</w:t>
            </w:r>
            <w:r w:rsidR="00CC6F6C" w:rsidRPr="004C6A81">
              <w:rPr>
                <w:rFonts w:ascii="Perpetua" w:hAnsi="Perpetua"/>
                <w:noProof/>
                <w:webHidden/>
              </w:rPr>
              <w:fldChar w:fldCharType="end"/>
            </w:r>
          </w:hyperlink>
        </w:p>
        <w:p w14:paraId="051408BB" w14:textId="4ACB29D7" w:rsidR="00CC6F6C" w:rsidRPr="004C6A81" w:rsidRDefault="00000000">
          <w:pPr>
            <w:pStyle w:val="TOC1"/>
            <w:tabs>
              <w:tab w:val="right" w:leader="dot" w:pos="6182"/>
            </w:tabs>
            <w:rPr>
              <w:rFonts w:ascii="Perpetua" w:eastAsiaTheme="minorEastAsia" w:hAnsi="Perpetua"/>
              <w:noProof/>
              <w:kern w:val="2"/>
              <w14:ligatures w14:val="standardContextual"/>
            </w:rPr>
          </w:pPr>
          <w:hyperlink w:anchor="_Toc158365923" w:history="1">
            <w:r w:rsidR="00CC6F6C" w:rsidRPr="004C6A81">
              <w:rPr>
                <w:rStyle w:val="Hyperlink"/>
                <w:rFonts w:ascii="Perpetua" w:hAnsi="Perpetua"/>
                <w:noProof/>
              </w:rPr>
              <w:t>Recent Print and Digital Resources Related to  Christianity in Africa  Compiled by Beth Restrick, Head, BU African Studies Library</w:t>
            </w:r>
            <w:r w:rsidR="00CC6F6C" w:rsidRPr="004C6A81">
              <w:rPr>
                <w:rFonts w:ascii="Perpetua" w:hAnsi="Perpetua"/>
                <w:noProof/>
                <w:webHidden/>
              </w:rPr>
              <w:tab/>
            </w:r>
            <w:r w:rsidR="00CC6F6C" w:rsidRPr="004C6A81">
              <w:rPr>
                <w:rFonts w:ascii="Perpetua" w:hAnsi="Perpetua"/>
                <w:noProof/>
                <w:webHidden/>
              </w:rPr>
              <w:fldChar w:fldCharType="begin"/>
            </w:r>
            <w:r w:rsidR="00CC6F6C" w:rsidRPr="004C6A81">
              <w:rPr>
                <w:rFonts w:ascii="Perpetua" w:hAnsi="Perpetua"/>
                <w:noProof/>
                <w:webHidden/>
              </w:rPr>
              <w:instrText xml:space="preserve"> PAGEREF _Toc158365923 \h </w:instrText>
            </w:r>
            <w:r w:rsidR="00CC6F6C" w:rsidRPr="004C6A81">
              <w:rPr>
                <w:rFonts w:ascii="Perpetua" w:hAnsi="Perpetua"/>
                <w:noProof/>
                <w:webHidden/>
              </w:rPr>
            </w:r>
            <w:r w:rsidR="00CC6F6C" w:rsidRPr="004C6A81">
              <w:rPr>
                <w:rFonts w:ascii="Perpetua" w:hAnsi="Perpetua"/>
                <w:noProof/>
                <w:webHidden/>
              </w:rPr>
              <w:fldChar w:fldCharType="separate"/>
            </w:r>
            <w:r w:rsidR="00E45BA9">
              <w:rPr>
                <w:rFonts w:ascii="Perpetua" w:hAnsi="Perpetua"/>
                <w:noProof/>
                <w:webHidden/>
              </w:rPr>
              <w:t>53</w:t>
            </w:r>
            <w:r w:rsidR="00CC6F6C" w:rsidRPr="004C6A81">
              <w:rPr>
                <w:rFonts w:ascii="Perpetua" w:hAnsi="Perpetua"/>
                <w:noProof/>
                <w:webHidden/>
              </w:rPr>
              <w:fldChar w:fldCharType="end"/>
            </w:r>
          </w:hyperlink>
        </w:p>
        <w:p w14:paraId="523CEEF0" w14:textId="6C9F9DA9" w:rsidR="00D435C8" w:rsidRDefault="00D435C8" w:rsidP="00094737">
          <w:r w:rsidRPr="004C6A81">
            <w:rPr>
              <w:rFonts w:ascii="Perpetua" w:hAnsi="Perpetua"/>
              <w:b/>
              <w:bCs/>
              <w:noProof/>
            </w:rPr>
            <w:fldChar w:fldCharType="end"/>
          </w:r>
          <w:r w:rsidR="00390109">
            <w:rPr>
              <w:rFonts w:ascii="Adobe Garamond Pro" w:hAnsi="Adobe Garamond Pro"/>
              <w:b/>
              <w:bCs/>
              <w:noProof/>
            </w:rPr>
            <w:softHyphen/>
          </w:r>
        </w:p>
      </w:sdtContent>
    </w:sdt>
    <w:p w14:paraId="521FBD9F" w14:textId="77777777" w:rsidR="009F0037" w:rsidRDefault="009F0037" w:rsidP="00094737">
      <w:pPr>
        <w:spacing w:after="0" w:line="240" w:lineRule="auto"/>
        <w:rPr>
          <w:rFonts w:ascii="Bell MT" w:hAnsi="Bell MT"/>
          <w:bCs/>
          <w:sz w:val="20"/>
          <w:szCs w:val="20"/>
          <w:lang w:val="en-CA"/>
        </w:rPr>
      </w:pPr>
    </w:p>
    <w:p w14:paraId="26BA540E" w14:textId="77777777" w:rsidR="009F0037" w:rsidRDefault="009F0037" w:rsidP="00094737">
      <w:pPr>
        <w:spacing w:after="0" w:line="240" w:lineRule="auto"/>
        <w:jc w:val="center"/>
        <w:rPr>
          <w:rFonts w:ascii="Bell MT" w:hAnsi="Bell MT"/>
          <w:bCs/>
          <w:sz w:val="20"/>
          <w:szCs w:val="20"/>
          <w:lang w:val="en-CA"/>
        </w:rPr>
      </w:pPr>
      <w:r>
        <w:rPr>
          <w:rFonts w:ascii="Bell MT" w:hAnsi="Bell MT"/>
          <w:bCs/>
          <w:sz w:val="20"/>
          <w:szCs w:val="20"/>
          <w:lang w:val="en-CA"/>
        </w:rPr>
        <w:t>---------------------------</w:t>
      </w:r>
    </w:p>
    <w:p w14:paraId="55376803" w14:textId="77777777" w:rsidR="00E210F5" w:rsidRDefault="00E210F5" w:rsidP="00094737">
      <w:pPr>
        <w:spacing w:after="0" w:line="240" w:lineRule="auto"/>
        <w:jc w:val="center"/>
        <w:rPr>
          <w:rFonts w:ascii="Bell MT" w:hAnsi="Bell MT"/>
          <w:bCs/>
          <w:sz w:val="20"/>
          <w:szCs w:val="20"/>
          <w:lang w:val="en-CA"/>
        </w:rPr>
      </w:pPr>
    </w:p>
    <w:p w14:paraId="499E2D81" w14:textId="77777777" w:rsidR="00E210F5" w:rsidRPr="00E210F5" w:rsidRDefault="00E210F5" w:rsidP="00094737">
      <w:pPr>
        <w:rPr>
          <w:rFonts w:ascii="Bell MT" w:hAnsi="Bell MT"/>
          <w:sz w:val="20"/>
          <w:szCs w:val="20"/>
          <w:lang w:val="en-CA"/>
        </w:rPr>
      </w:pPr>
    </w:p>
    <w:p w14:paraId="66305DE0" w14:textId="42F74322" w:rsidR="00E210F5" w:rsidRDefault="00E210F5" w:rsidP="00094737">
      <w:pPr>
        <w:rPr>
          <w:rFonts w:ascii="Bell MT" w:hAnsi="Bell MT"/>
          <w:sz w:val="20"/>
          <w:szCs w:val="20"/>
          <w:lang w:val="en-CA"/>
        </w:rPr>
      </w:pPr>
    </w:p>
    <w:p w14:paraId="6941A21C" w14:textId="77777777" w:rsidR="004C6A81" w:rsidRDefault="004C6A81" w:rsidP="00094737">
      <w:pPr>
        <w:rPr>
          <w:rFonts w:ascii="Bell MT" w:hAnsi="Bell MT"/>
          <w:sz w:val="20"/>
          <w:szCs w:val="20"/>
          <w:lang w:val="en-CA"/>
        </w:rPr>
      </w:pPr>
    </w:p>
    <w:p w14:paraId="70930277" w14:textId="77777777" w:rsidR="004C6A81" w:rsidRDefault="004C6A81" w:rsidP="00094737">
      <w:pPr>
        <w:rPr>
          <w:rFonts w:ascii="Bell MT" w:hAnsi="Bell MT"/>
          <w:sz w:val="20"/>
          <w:szCs w:val="20"/>
          <w:lang w:val="en-CA"/>
        </w:rPr>
      </w:pPr>
    </w:p>
    <w:p w14:paraId="6FB08B48" w14:textId="77777777" w:rsidR="004C6A81" w:rsidRDefault="004C6A81" w:rsidP="00094737">
      <w:pPr>
        <w:rPr>
          <w:rFonts w:ascii="Bell MT" w:hAnsi="Bell MT"/>
          <w:sz w:val="20"/>
          <w:szCs w:val="20"/>
          <w:lang w:val="en-CA"/>
        </w:rPr>
      </w:pPr>
    </w:p>
    <w:p w14:paraId="22D74DEA" w14:textId="77777777" w:rsidR="008E2AE7" w:rsidRPr="00E210F5" w:rsidRDefault="008E2AE7" w:rsidP="00094737">
      <w:pPr>
        <w:rPr>
          <w:rFonts w:ascii="Bell MT" w:hAnsi="Bell MT"/>
          <w:sz w:val="20"/>
          <w:szCs w:val="20"/>
          <w:lang w:val="en-CA"/>
        </w:rPr>
      </w:pPr>
    </w:p>
    <w:p w14:paraId="0CA34B74" w14:textId="79ED08F5" w:rsidR="008F5026" w:rsidRDefault="008F5026" w:rsidP="00094737">
      <w:pPr>
        <w:rPr>
          <w:rFonts w:ascii="Adobe Garamond Pro" w:hAnsi="Adobe Garamond Pro"/>
          <w:sz w:val="20"/>
          <w:szCs w:val="20"/>
          <w:lang w:val="en-CA"/>
        </w:rPr>
      </w:pPr>
      <w:r>
        <w:rPr>
          <w:rFonts w:ascii="Adobe Garamond Pro" w:hAnsi="Adobe Garamond Pro"/>
          <w:sz w:val="20"/>
          <w:szCs w:val="20"/>
          <w:lang w:val="en-CA"/>
        </w:rPr>
        <w:t>Photo</w:t>
      </w:r>
      <w:r w:rsidR="004C6A81">
        <w:rPr>
          <w:rFonts w:ascii="Adobe Garamond Pro" w:hAnsi="Adobe Garamond Pro"/>
          <w:sz w:val="20"/>
          <w:szCs w:val="20"/>
          <w:lang w:val="en-CA"/>
        </w:rPr>
        <w:t>s by A. Savin</w:t>
      </w:r>
      <w:r w:rsidR="00250334">
        <w:rPr>
          <w:rFonts w:ascii="Adobe Garamond Pro" w:hAnsi="Adobe Garamond Pro"/>
          <w:sz w:val="20"/>
          <w:szCs w:val="20"/>
          <w:lang w:val="en-CA"/>
        </w:rPr>
        <w:t>.</w:t>
      </w:r>
      <w:r w:rsidR="004C6A81">
        <w:rPr>
          <w:rFonts w:ascii="Adobe Garamond Pro" w:hAnsi="Adobe Garamond Pro"/>
          <w:sz w:val="20"/>
          <w:szCs w:val="20"/>
          <w:lang w:val="en-CA"/>
        </w:rPr>
        <w:t xml:space="preserve"> </w:t>
      </w:r>
      <w:r w:rsidR="004C6A81">
        <w:rPr>
          <w:rFonts w:ascii="Adobe Garamond Pro" w:hAnsi="Adobe Garamond Pro"/>
          <w:sz w:val="20"/>
          <w:szCs w:val="20"/>
          <w:lang w:val="en-CA"/>
        </w:rPr>
        <w:br/>
        <w:t>Ethiopia, Tigray region, Monastery of Debre Damo (6</w:t>
      </w:r>
      <w:r w:rsidR="004C6A81" w:rsidRPr="004C6A81">
        <w:rPr>
          <w:rFonts w:ascii="Adobe Garamond Pro" w:hAnsi="Adobe Garamond Pro"/>
          <w:sz w:val="20"/>
          <w:szCs w:val="20"/>
          <w:vertAlign w:val="superscript"/>
          <w:lang w:val="en-CA"/>
        </w:rPr>
        <w:t>th</w:t>
      </w:r>
      <w:r w:rsidR="004C6A81">
        <w:rPr>
          <w:rFonts w:ascii="Adobe Garamond Pro" w:hAnsi="Adobe Garamond Pro"/>
          <w:sz w:val="20"/>
          <w:szCs w:val="20"/>
          <w:lang w:val="en-CA"/>
        </w:rPr>
        <w:t xml:space="preserve"> century)</w:t>
      </w:r>
      <w:r w:rsidR="004C6A81">
        <w:rPr>
          <w:rFonts w:ascii="Adobe Garamond Pro" w:hAnsi="Adobe Garamond Pro"/>
          <w:sz w:val="20"/>
          <w:szCs w:val="20"/>
          <w:lang w:val="en-CA"/>
        </w:rPr>
        <w:br/>
      </w:r>
      <w:r w:rsidR="004C6A81" w:rsidRPr="004C6A81">
        <w:rPr>
          <w:rFonts w:ascii="Adobe Garamond Pro" w:hAnsi="Adobe Garamond Pro"/>
          <w:sz w:val="20"/>
          <w:szCs w:val="20"/>
          <w:lang w:val="en-CA"/>
        </w:rPr>
        <w:t>https://commons.wikimedia.org/w/index.php?curid=69061454</w:t>
      </w:r>
    </w:p>
    <w:p w14:paraId="14F9E58F" w14:textId="1AE601FD" w:rsidR="007D6829" w:rsidRDefault="007D6829">
      <w:pPr>
        <w:spacing w:after="0" w:line="240" w:lineRule="auto"/>
        <w:jc w:val="center"/>
        <w:rPr>
          <w:rFonts w:ascii="Adobe Garamond Pro" w:hAnsi="Adobe Garamond Pro"/>
          <w:sz w:val="20"/>
          <w:szCs w:val="20"/>
          <w:lang w:val="en-CA"/>
        </w:rPr>
      </w:pPr>
      <w:r>
        <w:rPr>
          <w:rFonts w:ascii="Adobe Garamond Pro" w:hAnsi="Adobe Garamond Pro"/>
          <w:sz w:val="20"/>
          <w:szCs w:val="20"/>
          <w:lang w:val="en-CA"/>
        </w:rPr>
        <w:br w:type="page"/>
      </w:r>
    </w:p>
    <w:p w14:paraId="04E71A4F" w14:textId="17B0D86C" w:rsidR="00DF0211" w:rsidRDefault="007D6829" w:rsidP="007D6829">
      <w:pPr>
        <w:jc w:val="center"/>
        <w:rPr>
          <w:rFonts w:ascii="Adobe Garamond Pro" w:hAnsi="Adobe Garamond Pro"/>
          <w:sz w:val="20"/>
          <w:szCs w:val="20"/>
          <w:lang w:val="en-CA"/>
        </w:rPr>
      </w:pPr>
      <w:r>
        <w:rPr>
          <w:rFonts w:ascii="Adobe Garamond Pro" w:hAnsi="Adobe Garamond Pro"/>
          <w:sz w:val="20"/>
          <w:szCs w:val="20"/>
          <w:lang w:val="en-CA"/>
        </w:rPr>
        <w:lastRenderedPageBreak/>
        <w:t>[blank page]</w:t>
      </w:r>
    </w:p>
    <w:p w14:paraId="655E31F1" w14:textId="7A9290D5" w:rsidR="004705D5" w:rsidRDefault="004705D5">
      <w:pPr>
        <w:spacing w:after="0" w:line="240" w:lineRule="auto"/>
        <w:jc w:val="center"/>
        <w:rPr>
          <w:rFonts w:ascii="Perpetua" w:eastAsia="Times New Roman" w:hAnsi="Perpetua" w:cs="Perpetua"/>
          <w:sz w:val="20"/>
          <w:szCs w:val="20"/>
        </w:rPr>
      </w:pPr>
      <w:r>
        <w:rPr>
          <w:rFonts w:ascii="Perpetua" w:hAnsi="Perpetua" w:cs="Perpetua"/>
        </w:rPr>
        <w:br w:type="page"/>
      </w:r>
    </w:p>
    <w:p w14:paraId="63CB3523" w14:textId="77777777" w:rsidR="00897C16" w:rsidRPr="0092043A" w:rsidRDefault="00897C16" w:rsidP="00094737">
      <w:pPr>
        <w:pStyle w:val="BodyText"/>
        <w:ind w:firstLine="432"/>
        <w:jc w:val="both"/>
        <w:rPr>
          <w:rFonts w:ascii="Perpetua" w:hAnsi="Perpetua" w:cs="Perpetua"/>
        </w:rPr>
      </w:pPr>
    </w:p>
    <w:tbl>
      <w:tblPr>
        <w:tblStyle w:val="TableGrid"/>
        <w:tblW w:w="6205" w:type="dxa"/>
        <w:tblInd w:w="113" w:type="dxa"/>
        <w:tblLayout w:type="fixed"/>
        <w:tblLook w:val="04A0" w:firstRow="1" w:lastRow="0" w:firstColumn="1" w:lastColumn="0" w:noHBand="0" w:noVBand="1"/>
      </w:tblPr>
      <w:tblGrid>
        <w:gridCol w:w="6205"/>
      </w:tblGrid>
      <w:tr w:rsidR="00897C16" w:rsidRPr="003205ED" w14:paraId="25DF8665" w14:textId="77777777" w:rsidTr="00773991">
        <w:tc>
          <w:tcPr>
            <w:tcW w:w="6205" w:type="dxa"/>
            <w:tcMar>
              <w:top w:w="144" w:type="dxa"/>
              <w:left w:w="144" w:type="dxa"/>
              <w:bottom w:w="144" w:type="dxa"/>
              <w:right w:w="144" w:type="dxa"/>
            </w:tcMar>
          </w:tcPr>
          <w:p w14:paraId="69AEE14F" w14:textId="77777777" w:rsidR="00897C16" w:rsidRPr="003205ED" w:rsidRDefault="00897C16" w:rsidP="00094737">
            <w:pPr>
              <w:pStyle w:val="BodyText"/>
              <w:jc w:val="center"/>
              <w:rPr>
                <w:rFonts w:ascii="Candara" w:hAnsi="Candara"/>
                <w:i/>
                <w:iCs/>
                <w:sz w:val="28"/>
                <w:szCs w:val="28"/>
              </w:rPr>
            </w:pPr>
            <w:r w:rsidRPr="003205ED">
              <w:rPr>
                <w:rFonts w:ascii="Candara" w:hAnsi="Candara"/>
                <w:i/>
                <w:iCs/>
                <w:sz w:val="28"/>
                <w:szCs w:val="28"/>
              </w:rPr>
              <w:t xml:space="preserve">Please join our work by becoming a </w:t>
            </w:r>
          </w:p>
          <w:p w14:paraId="75069014" w14:textId="77777777" w:rsidR="00897C16" w:rsidRPr="003205ED" w:rsidRDefault="00897C16" w:rsidP="00094737">
            <w:pPr>
              <w:pStyle w:val="BodyText"/>
              <w:jc w:val="center"/>
              <w:rPr>
                <w:rFonts w:ascii="Candara" w:hAnsi="Candara"/>
                <w:i/>
                <w:iCs/>
                <w:sz w:val="28"/>
                <w:szCs w:val="28"/>
              </w:rPr>
            </w:pPr>
          </w:p>
          <w:p w14:paraId="17D23D30" w14:textId="77777777" w:rsidR="00897C16" w:rsidRPr="003205ED" w:rsidRDefault="00897C16" w:rsidP="00094737">
            <w:pPr>
              <w:pStyle w:val="BodyText"/>
              <w:jc w:val="center"/>
              <w:rPr>
                <w:rFonts w:ascii="Candara" w:hAnsi="Candara"/>
                <w:sz w:val="36"/>
                <w:szCs w:val="36"/>
              </w:rPr>
            </w:pPr>
            <w:r w:rsidRPr="003205ED">
              <w:rPr>
                <w:rFonts w:ascii="Candara" w:hAnsi="Candara"/>
                <w:i/>
                <w:iCs/>
                <w:sz w:val="36"/>
                <w:szCs w:val="36"/>
              </w:rPr>
              <w:t>Friend of DACB</w:t>
            </w:r>
          </w:p>
          <w:p w14:paraId="77821FE5" w14:textId="77777777" w:rsidR="00897C16" w:rsidRPr="0092043A" w:rsidRDefault="00897C16" w:rsidP="00094737">
            <w:pPr>
              <w:pStyle w:val="BodyText"/>
              <w:rPr>
                <w:rFonts w:ascii="Candara" w:hAnsi="Candara"/>
                <w:sz w:val="18"/>
                <w:szCs w:val="18"/>
              </w:rPr>
            </w:pPr>
          </w:p>
          <w:p w14:paraId="560E7CA4" w14:textId="77777777" w:rsidR="00897C16" w:rsidRPr="000C41E1" w:rsidRDefault="00897C16" w:rsidP="00094737">
            <w:pPr>
              <w:pStyle w:val="BodyText"/>
              <w:jc w:val="both"/>
              <w:rPr>
                <w:rFonts w:ascii="Candara" w:hAnsi="Candara"/>
              </w:rPr>
            </w:pPr>
            <w:r w:rsidRPr="000C41E1">
              <w:rPr>
                <w:rFonts w:ascii="Candara" w:hAnsi="Candara"/>
              </w:rPr>
              <w:t xml:space="preserve">The Friends of DACB is a community of individuals invested in the work of mission, global networks, scholarship, theological education, and shalom in the church in Africa. The Friends of DACB support the work of the </w:t>
            </w:r>
            <w:r w:rsidRPr="000C41E1">
              <w:rPr>
                <w:rFonts w:ascii="Candara" w:hAnsi="Candara"/>
                <w:i/>
                <w:iCs/>
              </w:rPr>
              <w:t xml:space="preserve">Dictionary of African Christian Biography </w:t>
            </w:r>
            <w:r w:rsidRPr="000C41E1">
              <w:rPr>
                <w:rFonts w:ascii="Candara" w:hAnsi="Candara"/>
              </w:rPr>
              <w:t xml:space="preserve">Project by assisting with: </w:t>
            </w:r>
          </w:p>
          <w:p w14:paraId="04D08183" w14:textId="77777777" w:rsidR="00897C16" w:rsidRPr="000C41E1" w:rsidRDefault="00897C16" w:rsidP="00094737">
            <w:pPr>
              <w:pStyle w:val="BodyText"/>
              <w:widowControl/>
              <w:numPr>
                <w:ilvl w:val="0"/>
                <w:numId w:val="2"/>
              </w:numPr>
              <w:suppressAutoHyphens/>
              <w:autoSpaceDE/>
              <w:autoSpaceDN/>
              <w:spacing w:after="28" w:line="276" w:lineRule="auto"/>
              <w:jc w:val="both"/>
              <w:rPr>
                <w:rFonts w:ascii="Candara" w:hAnsi="Candara"/>
              </w:rPr>
            </w:pPr>
            <w:r w:rsidRPr="000C41E1">
              <w:rPr>
                <w:rFonts w:ascii="Candara" w:hAnsi="Candara"/>
              </w:rPr>
              <w:t xml:space="preserve">Promotion: Publicizing the mission of the DACB, and recruiting writers, instructors, and institutions to contribute content. </w:t>
            </w:r>
          </w:p>
          <w:p w14:paraId="4E054193" w14:textId="77777777" w:rsidR="00897C16" w:rsidRPr="000C41E1" w:rsidRDefault="00897C16" w:rsidP="00094737">
            <w:pPr>
              <w:pStyle w:val="BodyText"/>
              <w:widowControl/>
              <w:numPr>
                <w:ilvl w:val="0"/>
                <w:numId w:val="2"/>
              </w:numPr>
              <w:suppressAutoHyphens/>
              <w:autoSpaceDE/>
              <w:autoSpaceDN/>
              <w:spacing w:after="28" w:line="276" w:lineRule="auto"/>
              <w:jc w:val="both"/>
              <w:rPr>
                <w:rFonts w:ascii="Candara" w:hAnsi="Candara"/>
              </w:rPr>
            </w:pPr>
            <w:r w:rsidRPr="000C41E1">
              <w:rPr>
                <w:rFonts w:ascii="Candara" w:hAnsi="Candara"/>
              </w:rPr>
              <w:t xml:space="preserve">Financial sustainability: Providing a core amount of money to sustain the project and help it to grow into the future. </w:t>
            </w:r>
          </w:p>
          <w:p w14:paraId="3AB18D14" w14:textId="77777777" w:rsidR="00897C16" w:rsidRDefault="00897C16" w:rsidP="00094737">
            <w:pPr>
              <w:pStyle w:val="BodyText"/>
              <w:widowControl/>
              <w:numPr>
                <w:ilvl w:val="0"/>
                <w:numId w:val="2"/>
              </w:numPr>
              <w:suppressAutoHyphens/>
              <w:autoSpaceDE/>
              <w:autoSpaceDN/>
              <w:spacing w:after="28" w:line="276" w:lineRule="auto"/>
              <w:jc w:val="both"/>
              <w:rPr>
                <w:rFonts w:ascii="Candara" w:hAnsi="Candara"/>
              </w:rPr>
            </w:pPr>
            <w:r w:rsidRPr="000C41E1">
              <w:rPr>
                <w:rFonts w:ascii="Candara" w:hAnsi="Candara"/>
              </w:rPr>
              <w:t xml:space="preserve">Networking: Helping to find collaborators in academia, web development, publishing houses, church leadership, mission agencies, educational institutions. </w:t>
            </w:r>
          </w:p>
          <w:p w14:paraId="487E0897" w14:textId="77777777" w:rsidR="00897C16" w:rsidRPr="000C41E1" w:rsidRDefault="00897C16" w:rsidP="00094737">
            <w:pPr>
              <w:pStyle w:val="BodyText"/>
              <w:widowControl/>
              <w:numPr>
                <w:ilvl w:val="0"/>
                <w:numId w:val="2"/>
              </w:numPr>
              <w:suppressAutoHyphens/>
              <w:autoSpaceDE/>
              <w:autoSpaceDN/>
              <w:spacing w:after="28" w:line="276" w:lineRule="auto"/>
              <w:jc w:val="both"/>
              <w:rPr>
                <w:rFonts w:ascii="Candara" w:hAnsi="Candara"/>
              </w:rPr>
            </w:pPr>
            <w:r>
              <w:rPr>
                <w:rFonts w:ascii="Candara" w:hAnsi="Candara"/>
              </w:rPr>
              <w:t>Prayer for all those involved in this work</w:t>
            </w:r>
          </w:p>
          <w:p w14:paraId="261C57E8" w14:textId="77777777" w:rsidR="00897C16" w:rsidRPr="000C41E1" w:rsidRDefault="00897C16" w:rsidP="00094737">
            <w:pPr>
              <w:pStyle w:val="BodyText"/>
              <w:jc w:val="both"/>
              <w:rPr>
                <w:rFonts w:ascii="Candara" w:hAnsi="Candara"/>
              </w:rPr>
            </w:pPr>
          </w:p>
          <w:p w14:paraId="28652AF6" w14:textId="77777777" w:rsidR="00897C16" w:rsidRPr="000C41E1" w:rsidRDefault="00897C16" w:rsidP="00094737">
            <w:pPr>
              <w:pStyle w:val="BodyText"/>
              <w:jc w:val="both"/>
              <w:rPr>
                <w:rFonts w:ascii="Candara" w:hAnsi="Candara"/>
              </w:rPr>
            </w:pPr>
            <w:r w:rsidRPr="000C41E1">
              <w:rPr>
                <w:rFonts w:ascii="Candara" w:hAnsi="Candara"/>
              </w:rPr>
              <w:t xml:space="preserve">We invite you to become part of the mission of the DACB and the </w:t>
            </w:r>
            <w:r w:rsidRPr="000C41E1">
              <w:rPr>
                <w:rFonts w:ascii="Candara" w:hAnsi="Candara"/>
                <w:i/>
                <w:iCs/>
              </w:rPr>
              <w:t xml:space="preserve">Journal of African Christian Biography. </w:t>
            </w:r>
            <w:r w:rsidRPr="000C41E1">
              <w:rPr>
                <w:rFonts w:ascii="Candara" w:hAnsi="Candara"/>
              </w:rPr>
              <w:t xml:space="preserve">We need a global community of friends to build a sustainable and innovative future for this work. </w:t>
            </w:r>
          </w:p>
          <w:p w14:paraId="4C2DE460" w14:textId="77777777" w:rsidR="00897C16" w:rsidRPr="0092043A" w:rsidRDefault="00897C16" w:rsidP="00094737">
            <w:pPr>
              <w:pStyle w:val="BodyText"/>
              <w:rPr>
                <w:rFonts w:ascii="Candara" w:hAnsi="Candara"/>
                <w:sz w:val="18"/>
                <w:szCs w:val="18"/>
              </w:rPr>
            </w:pPr>
            <w:r>
              <w:rPr>
                <w:rFonts w:ascii="Candara" w:hAnsi="Candara"/>
                <w:noProof/>
              </w:rPr>
              <w:drawing>
                <wp:anchor distT="0" distB="0" distL="114300" distR="114300" simplePos="0" relativeHeight="251661312" behindDoc="0" locked="0" layoutInCell="1" allowOverlap="1" wp14:anchorId="56BAA53E" wp14:editId="37939C58">
                  <wp:simplePos x="0" y="0"/>
                  <wp:positionH relativeFrom="column">
                    <wp:posOffset>635</wp:posOffset>
                  </wp:positionH>
                  <wp:positionV relativeFrom="paragraph">
                    <wp:posOffset>141605</wp:posOffset>
                  </wp:positionV>
                  <wp:extent cx="810895" cy="810895"/>
                  <wp:effectExtent l="0" t="0" r="8255" b="8255"/>
                  <wp:wrapSquare wrapText="bothSides"/>
                  <wp:docPr id="10" name="Picture 1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Qr cod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10895" cy="810895"/>
                          </a:xfrm>
                          <a:prstGeom prst="rect">
                            <a:avLst/>
                          </a:prstGeom>
                        </pic:spPr>
                      </pic:pic>
                    </a:graphicData>
                  </a:graphic>
                  <wp14:sizeRelH relativeFrom="margin">
                    <wp14:pctWidth>0</wp14:pctWidth>
                  </wp14:sizeRelH>
                  <wp14:sizeRelV relativeFrom="margin">
                    <wp14:pctHeight>0</wp14:pctHeight>
                  </wp14:sizeRelV>
                </wp:anchor>
              </w:drawing>
            </w:r>
          </w:p>
          <w:p w14:paraId="179F1BE2" w14:textId="77777777" w:rsidR="00897C16" w:rsidRPr="000C41E1" w:rsidRDefault="00897C16" w:rsidP="00094737">
            <w:pPr>
              <w:pStyle w:val="BodyText"/>
              <w:rPr>
                <w:rFonts w:ascii="Candara" w:hAnsi="Candara"/>
              </w:rPr>
            </w:pPr>
            <w:r w:rsidRPr="000C41E1">
              <w:rPr>
                <w:rFonts w:ascii="Candara" w:hAnsi="Candara"/>
              </w:rPr>
              <w:t>For more information</w:t>
            </w:r>
            <w:r>
              <w:rPr>
                <w:rFonts w:ascii="Candara" w:hAnsi="Candara"/>
              </w:rPr>
              <w:t xml:space="preserve"> or to get involved</w:t>
            </w:r>
            <w:r w:rsidRPr="000C41E1">
              <w:rPr>
                <w:rFonts w:ascii="Candara" w:hAnsi="Candara"/>
              </w:rPr>
              <w:t>, contact:</w:t>
            </w:r>
          </w:p>
          <w:p w14:paraId="4DFD5AE2" w14:textId="77777777" w:rsidR="00897C16" w:rsidRPr="000C41E1" w:rsidRDefault="00897C16" w:rsidP="00094737">
            <w:pPr>
              <w:pStyle w:val="BodyText"/>
              <w:rPr>
                <w:rFonts w:ascii="Candara" w:hAnsi="Candara"/>
              </w:rPr>
            </w:pPr>
            <w:r w:rsidRPr="000C41E1">
              <w:rPr>
                <w:rFonts w:ascii="Candara" w:hAnsi="Candara"/>
              </w:rPr>
              <w:t>Mrs. Judy Stebbins, Chair</w:t>
            </w:r>
          </w:p>
          <w:p w14:paraId="0B946945" w14:textId="214592FF" w:rsidR="00897C16" w:rsidRPr="00897C16" w:rsidRDefault="00897C16" w:rsidP="00094737">
            <w:pPr>
              <w:pStyle w:val="BodyText"/>
              <w:rPr>
                <w:rFonts w:ascii="Candara" w:hAnsi="Candara"/>
              </w:rPr>
            </w:pPr>
            <w:r w:rsidRPr="003205ED">
              <w:rPr>
                <w:rFonts w:ascii="Candara" w:hAnsi="Candara"/>
              </w:rPr>
              <w:t xml:space="preserve">Email: </w:t>
            </w:r>
            <w:r w:rsidRPr="00897C16">
              <w:rPr>
                <w:rFonts w:ascii="Candara" w:hAnsi="Candara"/>
              </w:rPr>
              <w:t xml:space="preserve">jcistebbins@gmail.com </w:t>
            </w:r>
            <w:r>
              <w:rPr>
                <w:rFonts w:ascii="Candara" w:hAnsi="Candara"/>
              </w:rPr>
              <w:t>OR</w:t>
            </w:r>
          </w:p>
          <w:p w14:paraId="57973563" w14:textId="154A7C9A" w:rsidR="00897C16" w:rsidRPr="00B05EF6" w:rsidRDefault="00897C16" w:rsidP="00094737">
            <w:pPr>
              <w:pStyle w:val="BodyText"/>
              <w:rPr>
                <w:rFonts w:ascii="Candara" w:hAnsi="Candara"/>
                <w:lang w:val="fr-CA"/>
              </w:rPr>
            </w:pPr>
            <w:r w:rsidRPr="00B05EF6">
              <w:rPr>
                <w:rFonts w:ascii="Candara" w:hAnsi="Candara"/>
                <w:lang w:val="fr-CA"/>
              </w:rPr>
              <w:t>Dr. Michele Sigg</w:t>
            </w:r>
            <w:r w:rsidR="004705D5">
              <w:rPr>
                <w:rFonts w:ascii="Candara" w:hAnsi="Candara"/>
                <w:lang w:val="fr-CA"/>
              </w:rPr>
              <w:t>, Executive Director</w:t>
            </w:r>
          </w:p>
          <w:p w14:paraId="5EE7EF14" w14:textId="77777777" w:rsidR="00897C16" w:rsidRDefault="00897C16" w:rsidP="00094737">
            <w:pPr>
              <w:pStyle w:val="BodyText"/>
              <w:rPr>
                <w:rFonts w:ascii="Candara" w:hAnsi="Candara"/>
                <w:lang w:val="fr-FR"/>
              </w:rPr>
            </w:pPr>
            <w:r>
              <w:rPr>
                <w:rFonts w:ascii="Candara" w:hAnsi="Candara"/>
                <w:lang w:val="fr-FR"/>
              </w:rPr>
              <w:t xml:space="preserve">Email : </w:t>
            </w:r>
            <w:hyperlink r:id="rId18" w:history="1">
              <w:r w:rsidRPr="0014311A">
                <w:rPr>
                  <w:rStyle w:val="Hyperlink"/>
                  <w:rFonts w:ascii="Candara" w:hAnsi="Candara"/>
                  <w:lang w:val="fr-FR"/>
                </w:rPr>
                <w:t>dacb@bu.edu</w:t>
              </w:r>
            </w:hyperlink>
            <w:r>
              <w:rPr>
                <w:rFonts w:ascii="Candara" w:hAnsi="Candara"/>
                <w:lang w:val="fr-FR"/>
              </w:rPr>
              <w:t xml:space="preserve"> </w:t>
            </w:r>
          </w:p>
          <w:p w14:paraId="02CBC37D" w14:textId="77777777" w:rsidR="00897C16" w:rsidRDefault="00897C16" w:rsidP="00094737">
            <w:pPr>
              <w:pStyle w:val="BodyText"/>
              <w:rPr>
                <w:rFonts w:ascii="Candara" w:hAnsi="Candara"/>
                <w:lang w:val="fr-FR"/>
              </w:rPr>
            </w:pPr>
          </w:p>
          <w:p w14:paraId="5E173121" w14:textId="77777777" w:rsidR="00897C16" w:rsidRPr="00300562" w:rsidRDefault="00897C16" w:rsidP="00094737">
            <w:pPr>
              <w:pStyle w:val="BodyText"/>
              <w:rPr>
                <w:rFonts w:ascii="Candara" w:hAnsi="Candara"/>
                <w:sz w:val="22"/>
                <w:szCs w:val="22"/>
                <w:lang w:val="fr-FR"/>
              </w:rPr>
            </w:pPr>
            <w:r>
              <w:rPr>
                <w:rFonts w:ascii="Candara" w:hAnsi="Candara"/>
                <w:lang w:val="fr-FR"/>
              </w:rPr>
              <w:t xml:space="preserve">     </w:t>
            </w:r>
            <w:r w:rsidRPr="00300562">
              <w:rPr>
                <w:rFonts w:ascii="Candara" w:hAnsi="Candara"/>
                <w:sz w:val="22"/>
                <w:szCs w:val="22"/>
                <w:lang w:val="fr-FR"/>
              </w:rPr>
              <w:t>D</w:t>
            </w:r>
            <w:r>
              <w:rPr>
                <w:rFonts w:ascii="Candara" w:hAnsi="Candara"/>
                <w:sz w:val="22"/>
                <w:szCs w:val="22"/>
                <w:lang w:val="fr-FR"/>
              </w:rPr>
              <w:t>ONATE</w:t>
            </w:r>
          </w:p>
          <w:p w14:paraId="3AC4AAF7" w14:textId="77777777" w:rsidR="00897C16" w:rsidRPr="003205ED" w:rsidRDefault="00897C16" w:rsidP="00094737">
            <w:pPr>
              <w:pStyle w:val="BodyText"/>
              <w:rPr>
                <w:lang w:val="fr-FR"/>
              </w:rPr>
            </w:pPr>
          </w:p>
        </w:tc>
      </w:tr>
    </w:tbl>
    <w:p w14:paraId="4156A3E7" w14:textId="0B33A12B" w:rsidR="001D5E79" w:rsidRPr="001D5E79" w:rsidRDefault="00897C16" w:rsidP="00094737">
      <w:pPr>
        <w:sectPr w:rsidR="001D5E79" w:rsidRPr="001D5E79" w:rsidSect="00E94C5D">
          <w:pgSz w:w="7920" w:h="12240" w:orient="landscape"/>
          <w:pgMar w:top="864" w:right="864" w:bottom="864" w:left="864" w:header="720" w:footer="720" w:gutter="0"/>
          <w:cols w:space="720"/>
          <w:docGrid w:linePitch="360"/>
        </w:sectPr>
      </w:pPr>
      <w:r w:rsidRPr="003205ED">
        <w:rPr>
          <w:lang w:val="fr-FR"/>
        </w:rPr>
        <w:br w:type="page"/>
      </w:r>
    </w:p>
    <w:p w14:paraId="24345C55" w14:textId="44D85385" w:rsidR="00C03E40" w:rsidRPr="00C03E40" w:rsidRDefault="000F27C6" w:rsidP="000F27C6">
      <w:pPr>
        <w:pStyle w:val="Heading1"/>
        <w:rPr>
          <w:rFonts w:eastAsia="Calibri" w:cs="Calibri"/>
          <w:kern w:val="2"/>
          <w:szCs w:val="24"/>
          <w14:ligatures w14:val="standardContextual"/>
        </w:rPr>
      </w:pPr>
      <w:bookmarkStart w:id="0" w:name="_Toc158365913"/>
      <w:r w:rsidRPr="00C03E40">
        <w:rPr>
          <w:rFonts w:eastAsia="Calibri" w:cs="Calibri"/>
          <w:kern w:val="2"/>
          <w:szCs w:val="24"/>
          <w14:ligatures w14:val="standardContextual"/>
        </w:rPr>
        <w:lastRenderedPageBreak/>
        <w:t xml:space="preserve">The Surprising Discovery of Early African Christianity: </w:t>
      </w:r>
      <w:r>
        <w:rPr>
          <w:rFonts w:eastAsia="Calibri" w:cs="Calibri"/>
          <w:kern w:val="2"/>
          <w:szCs w:val="24"/>
          <w14:ligatures w14:val="standardContextual"/>
        </w:rPr>
        <w:t>Rethinking</w:t>
      </w:r>
      <w:r w:rsidRPr="00C03E40">
        <w:rPr>
          <w:rFonts w:eastAsia="Calibri" w:cs="Calibri"/>
          <w:kern w:val="2"/>
          <w:szCs w:val="24"/>
          <w14:ligatures w14:val="standardContextual"/>
        </w:rPr>
        <w:t xml:space="preserve"> Traditional Historical Narratives</w:t>
      </w:r>
      <w:r w:rsidR="00344E4F">
        <w:br/>
      </w:r>
      <w:bookmarkEnd w:id="0"/>
      <w:r w:rsidR="00C03E40" w:rsidRPr="00C03E40">
        <w:rPr>
          <w:rFonts w:eastAsia="Calibri" w:cs="Calibri"/>
          <w:kern w:val="2"/>
          <w:szCs w:val="24"/>
          <w14:ligatures w14:val="standardContextual"/>
        </w:rPr>
        <w:br/>
      </w:r>
      <w:r w:rsidR="00C03E40" w:rsidRPr="00C03E40">
        <w:rPr>
          <w:rFonts w:eastAsia="Calibri" w:cs="Calibri"/>
          <w:kern w:val="2"/>
          <w:sz w:val="22"/>
          <w:szCs w:val="22"/>
          <w14:ligatures w14:val="standardContextual"/>
        </w:rPr>
        <w:t>By Michael Glerup</w:t>
      </w:r>
      <w:r w:rsidR="00C03E40" w:rsidRPr="00C03E40">
        <w:rPr>
          <w:rFonts w:eastAsia="Calibri" w:cs="Calibri"/>
          <w:kern w:val="2"/>
          <w:szCs w:val="24"/>
          <w:vertAlign w:val="superscript"/>
          <w14:ligatures w14:val="standardContextual"/>
        </w:rPr>
        <w:footnoteReference w:id="1"/>
      </w:r>
    </w:p>
    <w:p w14:paraId="07C6EE44" w14:textId="77777777" w:rsidR="00C03E40" w:rsidRPr="00C03E40" w:rsidRDefault="00C03E40" w:rsidP="00C03E40">
      <w:pPr>
        <w:spacing w:after="0" w:line="240" w:lineRule="auto"/>
        <w:jc w:val="both"/>
        <w:rPr>
          <w:rFonts w:ascii="Perpetua" w:eastAsia="Calibri" w:hAnsi="Perpetua" w:cs="Calibri"/>
          <w:kern w:val="2"/>
          <w:sz w:val="24"/>
          <w:szCs w:val="24"/>
          <w14:ligatures w14:val="standardContextual"/>
        </w:rPr>
      </w:pPr>
    </w:p>
    <w:p w14:paraId="75AF61D2" w14:textId="77777777" w:rsidR="00C03E40" w:rsidRPr="00C03E40" w:rsidRDefault="00C03E40" w:rsidP="00C03E40">
      <w:pPr>
        <w:spacing w:after="0" w:line="240" w:lineRule="auto"/>
        <w:jc w:val="both"/>
        <w:rPr>
          <w:rFonts w:ascii="Perpetua" w:eastAsia="Calibri" w:hAnsi="Perpetua" w:cs="Calibri"/>
          <w:kern w:val="2"/>
          <w:sz w:val="20"/>
          <w:szCs w:val="20"/>
          <w14:ligatures w14:val="standardContextual"/>
        </w:rPr>
      </w:pPr>
      <w:r w:rsidRPr="00C03E40">
        <w:rPr>
          <w:rFonts w:ascii="Perpetua" w:eastAsia="Calibri" w:hAnsi="Perpetua" w:cs="Calibri"/>
          <w:kern w:val="2"/>
          <w:sz w:val="20"/>
          <w:szCs w:val="20"/>
          <w14:ligatures w14:val="standardContextual"/>
        </w:rPr>
        <w:t xml:space="preserve">This issue of the </w:t>
      </w:r>
      <w:r w:rsidRPr="00C03E40">
        <w:rPr>
          <w:rFonts w:ascii="Perpetua" w:eastAsia="Calibri" w:hAnsi="Perpetua" w:cs="Calibri"/>
          <w:i/>
          <w:iCs/>
          <w:kern w:val="2"/>
          <w:sz w:val="20"/>
          <w:szCs w:val="20"/>
          <w14:ligatures w14:val="standardContextual"/>
        </w:rPr>
        <w:t xml:space="preserve">Journal of African Christian Biography </w:t>
      </w:r>
      <w:r w:rsidRPr="00C03E40">
        <w:rPr>
          <w:rFonts w:ascii="Perpetua" w:eastAsia="Calibri" w:hAnsi="Perpetua" w:cs="Calibri"/>
          <w:kern w:val="2"/>
          <w:sz w:val="20"/>
          <w:szCs w:val="20"/>
          <w14:ligatures w14:val="standardContextual"/>
        </w:rPr>
        <w:t xml:space="preserve">focuses on the early Christian era in Africa. It highlights the influence of Thomas Oden and the </w:t>
      </w:r>
      <w:r w:rsidRPr="00C03E40">
        <w:rPr>
          <w:rFonts w:ascii="Perpetua" w:eastAsia="Calibri" w:hAnsi="Perpetua" w:cs="Calibri"/>
          <w:iCs/>
          <w:kern w:val="2"/>
          <w:sz w:val="20"/>
          <w:szCs w:val="20"/>
          <w14:ligatures w14:val="standardContextual"/>
        </w:rPr>
        <w:t>Center for Early African Christianity</w:t>
      </w:r>
      <w:r w:rsidRPr="00C03E40">
        <w:rPr>
          <w:rFonts w:ascii="Perpetua" w:eastAsia="Calibri" w:hAnsi="Perpetua" w:cs="Calibri"/>
          <w:kern w:val="2"/>
          <w:sz w:val="20"/>
          <w:szCs w:val="20"/>
          <w14:ligatures w14:val="standardContextual"/>
        </w:rPr>
        <w:t xml:space="preserve"> (CEAC) on the study of the Early Church in its relationship to Early African Christian history. In his work, </w:t>
      </w:r>
      <w:r w:rsidRPr="00C03E40">
        <w:rPr>
          <w:rFonts w:ascii="Perpetua" w:eastAsia="Calibri" w:hAnsi="Perpetua" w:cs="Calibri"/>
          <w:i/>
          <w:iCs/>
          <w:kern w:val="2"/>
          <w:sz w:val="20"/>
          <w:szCs w:val="20"/>
          <w14:ligatures w14:val="standardContextual"/>
        </w:rPr>
        <w:t>How Africa Shaped the Christian Mind</w:t>
      </w:r>
      <w:r w:rsidRPr="00C03E40">
        <w:rPr>
          <w:rFonts w:ascii="Perpetua" w:eastAsia="Calibri" w:hAnsi="Perpetua" w:cs="Calibri"/>
          <w:kern w:val="2"/>
          <w:sz w:val="20"/>
          <w:szCs w:val="20"/>
          <w14:ligatures w14:val="standardContextual"/>
        </w:rPr>
        <w:t xml:space="preserve">, Oden proposes a thought-provoking hypothesis: the direction of intellectual leadership in early Christian history predominantly flowed from South to North, from Africa to Europe, challenging the common misconception of a North to South trajectory. Oden acknowledged that this hypothesis had yet to be fully substantiated, nevertheless he remained convinced that a proper examination of the evidence will not only affirm this theory but also profoundly “reshape” the modern identity and motivation of African Christians. </w:t>
      </w:r>
    </w:p>
    <w:p w14:paraId="64489B31" w14:textId="77777777" w:rsidR="00C03E40" w:rsidRPr="00C03E40" w:rsidRDefault="00C03E40" w:rsidP="00C03E40">
      <w:pPr>
        <w:spacing w:after="0" w:line="240" w:lineRule="auto"/>
        <w:jc w:val="both"/>
        <w:rPr>
          <w:rFonts w:ascii="Perpetua" w:eastAsia="Calibri" w:hAnsi="Perpetua" w:cs="Calibri"/>
          <w:kern w:val="2"/>
          <w:sz w:val="20"/>
          <w:szCs w:val="20"/>
          <w14:ligatures w14:val="standardContextual"/>
        </w:rPr>
      </w:pPr>
      <w:r w:rsidRPr="00C03E40">
        <w:rPr>
          <w:rFonts w:ascii="Perpetua" w:eastAsia="Calibri" w:hAnsi="Perpetua" w:cs="Calibri"/>
          <w:kern w:val="2"/>
          <w:sz w:val="20"/>
          <w:szCs w:val="20"/>
          <w14:ligatures w14:val="standardContextual"/>
        </w:rPr>
        <w:tab/>
        <w:t xml:space="preserve">Since some </w:t>
      </w:r>
      <w:r w:rsidRPr="00C03E40">
        <w:rPr>
          <w:rFonts w:ascii="Perpetua" w:eastAsia="Calibri" w:hAnsi="Perpetua" w:cs="Calibri"/>
          <w:i/>
          <w:kern w:val="2"/>
          <w:sz w:val="20"/>
          <w:szCs w:val="20"/>
          <w14:ligatures w14:val="standardContextual"/>
        </w:rPr>
        <w:t>JACB</w:t>
      </w:r>
      <w:r w:rsidRPr="00C03E40">
        <w:rPr>
          <w:rFonts w:ascii="Perpetua" w:eastAsia="Calibri" w:hAnsi="Perpetua" w:cs="Calibri"/>
          <w:kern w:val="2"/>
          <w:sz w:val="20"/>
          <w:szCs w:val="20"/>
          <w14:ligatures w14:val="standardContextual"/>
        </w:rPr>
        <w:t xml:space="preserve"> readers might be unfamiliar with Oden, a brief biography might be helpful. Thomas Oden (1931-2016) was born in Altus, OK, and was the former student leader of the communist party at Oklahoma University (B.A., 1953). He received his Ph.D. from Yale Graduate School in 1960 under the direction of H. Richard Niebuhr. Tom taught at Yale University, Southern Methodist University, and Phillips University before joining the graduate school faculty at Drew University in 1970. It was here his dean and highly respected colleague, Will Herberg, challenged him. He told Tom he was “densely ignorant of Christianity, and he simply couldn’t permit [him] to throw [his] life away. Holding one finger up, looking straight at [him] with fury in his eyes, he said: ‘You will remain theologically uneducated until you study carefully Athanasius, Augustine, and Aquinas.’”</w:t>
      </w:r>
      <w:r w:rsidRPr="00C03E40">
        <w:rPr>
          <w:rFonts w:ascii="Perpetua" w:eastAsia="Calibri" w:hAnsi="Perpetua" w:cs="Calibri"/>
          <w:kern w:val="2"/>
          <w:sz w:val="20"/>
          <w:szCs w:val="20"/>
          <w:vertAlign w:val="superscript"/>
          <w14:ligatures w14:val="standardContextual"/>
        </w:rPr>
        <w:footnoteReference w:id="2"/>
      </w:r>
      <w:r w:rsidRPr="00C03E40">
        <w:rPr>
          <w:rFonts w:ascii="Perpetua" w:eastAsia="Calibri" w:hAnsi="Perpetua" w:cs="Calibri"/>
          <w:kern w:val="2"/>
          <w:sz w:val="20"/>
          <w:szCs w:val="20"/>
          <w14:ligatures w14:val="standardContextual"/>
        </w:rPr>
        <w:t xml:space="preserve">  </w:t>
      </w:r>
    </w:p>
    <w:p w14:paraId="507681D7" w14:textId="77777777" w:rsidR="00C03E40" w:rsidRPr="00C03E40" w:rsidRDefault="00C03E40" w:rsidP="00C03E40">
      <w:pPr>
        <w:spacing w:after="0" w:line="240" w:lineRule="auto"/>
        <w:ind w:firstLine="432"/>
        <w:jc w:val="both"/>
        <w:rPr>
          <w:rFonts w:ascii="Perpetua" w:eastAsia="Calibri" w:hAnsi="Perpetua" w:cs="Calibri"/>
          <w:kern w:val="2"/>
          <w:sz w:val="20"/>
          <w:szCs w:val="20"/>
          <w14:ligatures w14:val="standardContextual"/>
        </w:rPr>
      </w:pPr>
      <w:r w:rsidRPr="00C03E40">
        <w:rPr>
          <w:rFonts w:ascii="Perpetua" w:eastAsia="Calibri" w:hAnsi="Perpetua" w:cs="Calibri"/>
          <w:kern w:val="2"/>
          <w:sz w:val="20"/>
          <w:szCs w:val="20"/>
          <w14:ligatures w14:val="standardContextual"/>
        </w:rPr>
        <w:t>Tom took up the challenge and began a ten-year reading regime of the early Christian writers. Ultimately, he emerged with what he described as a changed heart. Persuaded by the great minds of the ancient Christian tradition, he made a 180-degree change in course. During his tenure at Drew, he produced over 80 articles and book chapters, 31 books for publication, and served as the General Editor for ten volumes. After retirement, he wrote 15 additional books and was the General Editor for 35 volumes. Tom died in December 2016</w:t>
      </w:r>
      <w:r w:rsidRPr="00C03E40">
        <w:rPr>
          <w:rFonts w:ascii="Perpetua" w:eastAsia="Calibri" w:hAnsi="Perpetua" w:cs="Calibri"/>
          <w:i/>
          <w:iCs/>
          <w:kern w:val="2"/>
          <w:sz w:val="20"/>
          <w:szCs w:val="20"/>
          <w14:ligatures w14:val="standardContextual"/>
        </w:rPr>
        <w:t>. The Songs of Africa: The Ethiopian Canticles</w:t>
      </w:r>
      <w:r w:rsidRPr="00C03E40">
        <w:rPr>
          <w:rFonts w:ascii="Perpetua" w:eastAsia="Calibri" w:hAnsi="Perpetua" w:cs="Calibri"/>
          <w:kern w:val="2"/>
          <w:sz w:val="20"/>
          <w:szCs w:val="20"/>
          <w14:ligatures w14:val="standardContextual"/>
        </w:rPr>
        <w:t>, published in 2017, was his final research and editorial publication.</w:t>
      </w:r>
    </w:p>
    <w:p w14:paraId="6D5FE32E" w14:textId="77777777" w:rsidR="00C03E40" w:rsidRPr="00C03E40" w:rsidRDefault="00C03E40" w:rsidP="00C03E40">
      <w:pPr>
        <w:spacing w:after="0" w:line="240" w:lineRule="auto"/>
        <w:ind w:firstLine="432"/>
        <w:jc w:val="both"/>
        <w:rPr>
          <w:rFonts w:ascii="Perpetua" w:eastAsia="Calibri" w:hAnsi="Perpetua" w:cs="Calibri"/>
          <w:kern w:val="2"/>
          <w:sz w:val="20"/>
          <w:szCs w:val="20"/>
          <w14:ligatures w14:val="standardContextual"/>
        </w:rPr>
      </w:pPr>
      <w:r w:rsidRPr="00C03E40">
        <w:rPr>
          <w:rFonts w:ascii="Perpetua" w:eastAsia="Calibri" w:hAnsi="Perpetua" w:cs="Calibri"/>
          <w:kern w:val="2"/>
          <w:sz w:val="20"/>
          <w:szCs w:val="20"/>
          <w14:ligatures w14:val="standardContextual"/>
        </w:rPr>
        <w:t xml:space="preserve">Almost fifteen years ago, Oden with the ACCS leadership core founded the </w:t>
      </w:r>
      <w:r w:rsidRPr="00C03E40">
        <w:rPr>
          <w:rFonts w:ascii="Perpetua" w:eastAsia="Calibri" w:hAnsi="Perpetua" w:cs="Calibri"/>
          <w:iCs/>
          <w:kern w:val="2"/>
          <w:sz w:val="20"/>
          <w:szCs w:val="20"/>
          <w14:ligatures w14:val="standardContextual"/>
        </w:rPr>
        <w:t>Center for Early African Christianity</w:t>
      </w:r>
      <w:r w:rsidRPr="00C03E40">
        <w:rPr>
          <w:rFonts w:ascii="Perpetua" w:eastAsia="Calibri" w:hAnsi="Perpetua" w:cs="Calibri"/>
          <w:i/>
          <w:iCs/>
          <w:kern w:val="2"/>
          <w:sz w:val="20"/>
          <w:szCs w:val="20"/>
          <w14:ligatures w14:val="standardContextual"/>
        </w:rPr>
        <w:t xml:space="preserve">, </w:t>
      </w:r>
      <w:r w:rsidRPr="00C03E40">
        <w:rPr>
          <w:rFonts w:ascii="Perpetua" w:eastAsia="Calibri" w:hAnsi="Perpetua" w:cs="Calibri"/>
          <w:kern w:val="2"/>
          <w:sz w:val="20"/>
          <w:szCs w:val="20"/>
          <w14:ligatures w14:val="standardContextual"/>
        </w:rPr>
        <w:t xml:space="preserve">which is now under my directorship since 2016. The Center is a collaboration of scholars, which began with the research and publication of the </w:t>
      </w:r>
      <w:r w:rsidRPr="00C03E40">
        <w:rPr>
          <w:rFonts w:ascii="Perpetua" w:eastAsia="Calibri" w:hAnsi="Perpetua" w:cs="Calibri"/>
          <w:i/>
          <w:iCs/>
          <w:kern w:val="2"/>
          <w:sz w:val="20"/>
          <w:szCs w:val="20"/>
          <w14:ligatures w14:val="standardContextual"/>
        </w:rPr>
        <w:t>Ancient Christian Commentary on Scripture</w:t>
      </w:r>
      <w:r w:rsidRPr="00C03E40">
        <w:rPr>
          <w:rFonts w:ascii="Perpetua" w:eastAsia="Calibri" w:hAnsi="Perpetua" w:cs="Calibri"/>
          <w:kern w:val="2"/>
          <w:sz w:val="20"/>
          <w:szCs w:val="20"/>
          <w14:ligatures w14:val="standardContextual"/>
        </w:rPr>
        <w:t xml:space="preserve"> (</w:t>
      </w:r>
      <w:r w:rsidRPr="00C03E40">
        <w:rPr>
          <w:rFonts w:ascii="Perpetua" w:eastAsia="Calibri" w:hAnsi="Perpetua" w:cs="Calibri"/>
          <w:i/>
          <w:iCs/>
          <w:kern w:val="2"/>
          <w:sz w:val="20"/>
          <w:szCs w:val="20"/>
          <w14:ligatures w14:val="standardContextual"/>
        </w:rPr>
        <w:t>ACCS</w:t>
      </w:r>
      <w:r w:rsidRPr="00C03E40">
        <w:rPr>
          <w:rFonts w:ascii="Perpetua" w:eastAsia="Calibri" w:hAnsi="Perpetua" w:cs="Calibri"/>
          <w:kern w:val="2"/>
          <w:sz w:val="20"/>
          <w:szCs w:val="20"/>
          <w14:ligatures w14:val="standardContextual"/>
        </w:rPr>
        <w:t xml:space="preserve">). The two decades process of </w:t>
      </w:r>
      <w:r w:rsidRPr="00C03E40">
        <w:rPr>
          <w:rFonts w:ascii="Perpetua" w:eastAsia="Calibri" w:hAnsi="Perpetua" w:cs="Calibri"/>
          <w:kern w:val="2"/>
          <w:sz w:val="20"/>
          <w:szCs w:val="20"/>
          <w14:ligatures w14:val="standardContextual"/>
        </w:rPr>
        <w:lastRenderedPageBreak/>
        <w:t xml:space="preserve">translating, editing, and publishing the twenty-nine volume </w:t>
      </w:r>
      <w:r w:rsidRPr="00C03E40">
        <w:rPr>
          <w:rFonts w:ascii="Perpetua" w:eastAsia="Calibri" w:hAnsi="Perpetua" w:cs="Calibri"/>
          <w:i/>
          <w:iCs/>
          <w:kern w:val="2"/>
          <w:sz w:val="20"/>
          <w:szCs w:val="20"/>
          <w14:ligatures w14:val="standardContextual"/>
        </w:rPr>
        <w:t>ACCS</w:t>
      </w:r>
      <w:r w:rsidRPr="00C03E40">
        <w:rPr>
          <w:rFonts w:ascii="Perpetua" w:eastAsia="Calibri" w:hAnsi="Perpetua" w:cs="Calibri"/>
          <w:kern w:val="2"/>
          <w:sz w:val="20"/>
          <w:szCs w:val="20"/>
          <w14:ligatures w14:val="standardContextual"/>
        </w:rPr>
        <w:t xml:space="preserve"> pointed us towards a significant and enlightening turn: the consideration of Early African Christianity's contributions to the formation of Western Christianity. This journey unveiled a surprising discovery—the substantial percentage of texts from Africa, or those influenced by African writers, within patristic commentary across Scripture. Oden reflected on this revelation, noting, “Many leading themes of the widely read homilies by John Chrysostom, Theodoret, and Ambrose were found to echo the insights of Origen, Didymus, and Cyril in specific details.”</w:t>
      </w:r>
      <w:r w:rsidRPr="00C03E40">
        <w:rPr>
          <w:rFonts w:ascii="Perpetua" w:eastAsia="Calibri" w:hAnsi="Perpetua" w:cs="Calibri"/>
          <w:kern w:val="2"/>
          <w:sz w:val="20"/>
          <w:szCs w:val="20"/>
          <w:vertAlign w:val="superscript"/>
          <w14:ligatures w14:val="standardContextual"/>
        </w:rPr>
        <w:footnoteReference w:id="3"/>
      </w:r>
      <w:r w:rsidRPr="00C03E40">
        <w:rPr>
          <w:rFonts w:ascii="Perpetua" w:eastAsia="Calibri" w:hAnsi="Perpetua" w:cs="Calibri"/>
          <w:kern w:val="2"/>
          <w:sz w:val="20"/>
          <w:szCs w:val="20"/>
          <w14:ligatures w14:val="standardContextual"/>
        </w:rPr>
        <w:t xml:space="preserve"> Over the years dedicated to investigating patristic texts for the commentary's editing, this emerged as one of the Center’s most unexpected findings.</w:t>
      </w:r>
    </w:p>
    <w:p w14:paraId="129B3FE5" w14:textId="77777777" w:rsidR="00C03E40" w:rsidRPr="00C03E40" w:rsidRDefault="00C03E40" w:rsidP="00C03E40">
      <w:pPr>
        <w:spacing w:after="0" w:line="240" w:lineRule="auto"/>
        <w:ind w:firstLine="432"/>
        <w:jc w:val="both"/>
        <w:rPr>
          <w:rFonts w:ascii="Perpetua" w:eastAsia="Calibri" w:hAnsi="Perpetua" w:cs="Calibri"/>
          <w:kern w:val="2"/>
          <w:sz w:val="20"/>
          <w:szCs w:val="20"/>
          <w14:ligatures w14:val="standardContextual"/>
        </w:rPr>
      </w:pPr>
      <w:r w:rsidRPr="00C03E40">
        <w:rPr>
          <w:rFonts w:ascii="Perpetua" w:eastAsia="Calibri" w:hAnsi="Perpetua" w:cs="Calibri"/>
          <w:kern w:val="2"/>
          <w:sz w:val="20"/>
          <w:szCs w:val="20"/>
          <w14:ligatures w14:val="standardContextual"/>
        </w:rPr>
        <w:t>As an example, our research comparing scriptural commentary side-by-side demonstrated the profound influence of Origen's comprehensive Scripture studies on figures such as Basil of Caesarea and Gregory of Nyssa, as well as how Augustine's exegesis left a lasting impression on Leo the Great and Gregory the Great. This endeavor enabled us to trace the intellectual and spiritual journey from Africa to fourth-century centers of Christianity in Syria, Constantinople, and Rome.</w:t>
      </w:r>
    </w:p>
    <w:p w14:paraId="68EEE21F" w14:textId="77777777" w:rsidR="00C03E40" w:rsidRPr="00C03E40" w:rsidRDefault="00C03E40" w:rsidP="00C03E40">
      <w:pPr>
        <w:spacing w:after="0" w:line="240" w:lineRule="auto"/>
        <w:ind w:firstLine="432"/>
        <w:jc w:val="both"/>
        <w:rPr>
          <w:rFonts w:ascii="Perpetua" w:eastAsia="Calibri" w:hAnsi="Perpetua" w:cs="Calibri"/>
          <w:kern w:val="2"/>
          <w:sz w:val="20"/>
          <w:szCs w:val="20"/>
          <w14:ligatures w14:val="standardContextual"/>
        </w:rPr>
      </w:pPr>
      <w:r w:rsidRPr="00C03E40">
        <w:rPr>
          <w:rFonts w:ascii="Perpetua" w:eastAsia="Calibri" w:hAnsi="Perpetua" w:cs="Calibri"/>
          <w:kern w:val="2"/>
          <w:sz w:val="20"/>
          <w:szCs w:val="20"/>
          <w14:ligatures w14:val="standardContextual"/>
        </w:rPr>
        <w:t xml:space="preserve">Moreover, our exploration identifies five pivotal centers of Early Christianity in Africa—Carthage &amp; Numidia </w:t>
      </w:r>
      <w:r w:rsidRPr="00C03E40">
        <w:rPr>
          <w:rFonts w:ascii="Perpetua" w:eastAsia="Calibri" w:hAnsi="Perpetua" w:cs="Calibri"/>
          <w:bCs/>
          <w:kern w:val="2"/>
          <w:sz w:val="20"/>
          <w:szCs w:val="20"/>
          <w14:ligatures w14:val="standardContextual"/>
        </w:rPr>
        <w:t>(</w:t>
      </w:r>
      <w:r w:rsidRPr="00C03E40">
        <w:rPr>
          <w:rFonts w:ascii="Perpetua" w:eastAsia="Calibri" w:hAnsi="Perpetua" w:cs="Calibri"/>
          <w:bCs/>
          <w:i/>
          <w:iCs/>
          <w:kern w:val="2"/>
          <w:sz w:val="20"/>
          <w:szCs w:val="20"/>
          <w14:ligatures w14:val="standardContextual"/>
        </w:rPr>
        <w:t>Afri</w:t>
      </w:r>
      <w:r w:rsidRPr="00C03E40">
        <w:rPr>
          <w:rFonts w:ascii="Perpetua" w:eastAsia="Calibri" w:hAnsi="Perpetua" w:cs="Calibri"/>
          <w:bCs/>
          <w:kern w:val="2"/>
          <w:sz w:val="20"/>
          <w:szCs w:val="20"/>
          <w14:ligatures w14:val="standardContextual"/>
        </w:rPr>
        <w:t xml:space="preserve"> and </w:t>
      </w:r>
      <w:r w:rsidRPr="00C03E40">
        <w:rPr>
          <w:rFonts w:ascii="Perpetua" w:eastAsia="Calibri" w:hAnsi="Perpetua" w:cs="Calibri"/>
          <w:bCs/>
          <w:i/>
          <w:iCs/>
          <w:kern w:val="2"/>
          <w:sz w:val="20"/>
          <w:szCs w:val="20"/>
          <w14:ligatures w14:val="standardContextual"/>
        </w:rPr>
        <w:t>Punic</w:t>
      </w:r>
      <w:r w:rsidRPr="00C03E40">
        <w:rPr>
          <w:rFonts w:ascii="Perpetua" w:eastAsia="Calibri" w:hAnsi="Perpetua" w:cs="Calibri"/>
          <w:bCs/>
          <w:kern w:val="2"/>
          <w:sz w:val="20"/>
          <w:szCs w:val="20"/>
          <w14:ligatures w14:val="standardContextual"/>
        </w:rPr>
        <w:t>)</w:t>
      </w:r>
      <w:r w:rsidRPr="00C03E40">
        <w:rPr>
          <w:rFonts w:ascii="Perpetua" w:eastAsia="Calibri" w:hAnsi="Perpetua" w:cs="Calibri"/>
          <w:kern w:val="2"/>
          <w:sz w:val="20"/>
          <w:szCs w:val="20"/>
          <w14:ligatures w14:val="standardContextual"/>
        </w:rPr>
        <w:t>, Cyrene &amp; Libya (</w:t>
      </w:r>
      <w:r w:rsidRPr="00C03E40">
        <w:rPr>
          <w:rFonts w:ascii="Perpetua" w:eastAsia="Calibri" w:hAnsi="Perpetua" w:cs="Calibri"/>
          <w:bCs/>
          <w:i/>
          <w:iCs/>
          <w:kern w:val="2"/>
          <w:sz w:val="20"/>
          <w:szCs w:val="20"/>
          <w14:ligatures w14:val="standardContextual"/>
        </w:rPr>
        <w:t>Greek</w:t>
      </w:r>
      <w:r w:rsidRPr="00C03E40">
        <w:rPr>
          <w:rFonts w:ascii="Perpetua" w:eastAsia="Calibri" w:hAnsi="Perpetua" w:cs="Calibri"/>
          <w:bCs/>
          <w:kern w:val="2"/>
          <w:sz w:val="20"/>
          <w:szCs w:val="20"/>
          <w14:ligatures w14:val="standardContextual"/>
        </w:rPr>
        <w:t xml:space="preserve"> and </w:t>
      </w:r>
      <w:r w:rsidRPr="00C03E40">
        <w:rPr>
          <w:rFonts w:ascii="Perpetua" w:eastAsia="Calibri" w:hAnsi="Perpetua" w:cs="Calibri"/>
          <w:bCs/>
          <w:i/>
          <w:iCs/>
          <w:kern w:val="2"/>
          <w:sz w:val="20"/>
          <w:szCs w:val="20"/>
          <w14:ligatures w14:val="standardContextual"/>
        </w:rPr>
        <w:t>Libyan</w:t>
      </w:r>
      <w:r w:rsidRPr="00C03E40">
        <w:rPr>
          <w:rFonts w:ascii="Perpetua" w:eastAsia="Calibri" w:hAnsi="Perpetua" w:cs="Calibri"/>
          <w:bCs/>
          <w:kern w:val="2"/>
          <w:sz w:val="20"/>
          <w:szCs w:val="20"/>
          <w14:ligatures w14:val="standardContextual"/>
        </w:rPr>
        <w:t>)</w:t>
      </w:r>
      <w:r w:rsidRPr="00C03E40">
        <w:rPr>
          <w:rFonts w:ascii="Perpetua" w:eastAsia="Calibri" w:hAnsi="Perpetua" w:cs="Calibri"/>
          <w:kern w:val="2"/>
          <w:sz w:val="20"/>
          <w:szCs w:val="20"/>
          <w14:ligatures w14:val="standardContextual"/>
        </w:rPr>
        <w:t xml:space="preserve">, </w:t>
      </w:r>
      <w:r w:rsidRPr="00C03E40">
        <w:rPr>
          <w:rFonts w:ascii="Perpetua" w:eastAsia="Calibri" w:hAnsi="Perpetua" w:cs="Calibri"/>
          <w:bCs/>
          <w:kern w:val="2"/>
          <w:sz w:val="20"/>
          <w:szCs w:val="20"/>
          <w14:ligatures w14:val="standardContextual"/>
        </w:rPr>
        <w:t>Alexandria &amp; Egypt (</w:t>
      </w:r>
      <w:r w:rsidRPr="00C03E40">
        <w:rPr>
          <w:rFonts w:ascii="Perpetua" w:eastAsia="Calibri" w:hAnsi="Perpetua" w:cs="Calibri"/>
          <w:bCs/>
          <w:i/>
          <w:iCs/>
          <w:kern w:val="2"/>
          <w:sz w:val="20"/>
          <w:szCs w:val="20"/>
          <w14:ligatures w14:val="standardContextual"/>
        </w:rPr>
        <w:t>Greek</w:t>
      </w:r>
      <w:r w:rsidRPr="00C03E40">
        <w:rPr>
          <w:rFonts w:ascii="Perpetua" w:eastAsia="Calibri" w:hAnsi="Perpetua" w:cs="Calibri"/>
          <w:bCs/>
          <w:kern w:val="2"/>
          <w:sz w:val="20"/>
          <w:szCs w:val="20"/>
          <w14:ligatures w14:val="standardContextual"/>
        </w:rPr>
        <w:t xml:space="preserve"> and </w:t>
      </w:r>
      <w:r w:rsidRPr="00C03E40">
        <w:rPr>
          <w:rFonts w:ascii="Perpetua" w:eastAsia="Calibri" w:hAnsi="Perpetua" w:cs="Calibri"/>
          <w:bCs/>
          <w:i/>
          <w:iCs/>
          <w:kern w:val="2"/>
          <w:sz w:val="20"/>
          <w:szCs w:val="20"/>
          <w14:ligatures w14:val="standardContextual"/>
        </w:rPr>
        <w:t>Egyptian</w:t>
      </w:r>
      <w:r w:rsidRPr="00C03E40">
        <w:rPr>
          <w:rFonts w:ascii="Perpetua" w:eastAsia="Calibri" w:hAnsi="Perpetua" w:cs="Calibri"/>
          <w:bCs/>
          <w:kern w:val="2"/>
          <w:sz w:val="20"/>
          <w:szCs w:val="20"/>
          <w14:ligatures w14:val="standardContextual"/>
        </w:rPr>
        <w:t>), Ethiopia (</w:t>
      </w:r>
      <w:r w:rsidRPr="00C03E40">
        <w:rPr>
          <w:rFonts w:ascii="Perpetua" w:eastAsia="Calibri" w:hAnsi="Perpetua" w:cs="Calibri"/>
          <w:bCs/>
          <w:i/>
          <w:iCs/>
          <w:kern w:val="2"/>
          <w:sz w:val="20"/>
          <w:szCs w:val="20"/>
          <w14:ligatures w14:val="standardContextual"/>
        </w:rPr>
        <w:t>Aksum</w:t>
      </w:r>
      <w:r w:rsidRPr="00C03E40">
        <w:rPr>
          <w:rFonts w:ascii="Perpetua" w:eastAsia="Calibri" w:hAnsi="Perpetua" w:cs="Calibri"/>
          <w:bCs/>
          <w:kern w:val="2"/>
          <w:sz w:val="20"/>
          <w:szCs w:val="20"/>
          <w14:ligatures w14:val="standardContextual"/>
        </w:rPr>
        <w:t xml:space="preserve"> and </w:t>
      </w:r>
      <w:r w:rsidRPr="00C03E40">
        <w:rPr>
          <w:rFonts w:ascii="Perpetua" w:eastAsia="Calibri" w:hAnsi="Perpetua" w:cs="Calibri"/>
          <w:bCs/>
          <w:i/>
          <w:iCs/>
          <w:kern w:val="2"/>
          <w:sz w:val="20"/>
          <w:szCs w:val="20"/>
          <w14:ligatures w14:val="standardContextual"/>
        </w:rPr>
        <w:t>Sabaean</w:t>
      </w:r>
      <w:r w:rsidRPr="00C03E40">
        <w:rPr>
          <w:rFonts w:ascii="Perpetua" w:eastAsia="Calibri" w:hAnsi="Perpetua" w:cs="Calibri"/>
          <w:bCs/>
          <w:kern w:val="2"/>
          <w:sz w:val="20"/>
          <w:szCs w:val="20"/>
          <w14:ligatures w14:val="standardContextual"/>
        </w:rPr>
        <w:t>), and Nubia (</w:t>
      </w:r>
      <w:r w:rsidRPr="00C03E40">
        <w:rPr>
          <w:rFonts w:ascii="Perpetua" w:eastAsia="Calibri" w:hAnsi="Perpetua" w:cs="Calibri"/>
          <w:bCs/>
          <w:i/>
          <w:iCs/>
          <w:kern w:val="2"/>
          <w:sz w:val="20"/>
          <w:szCs w:val="20"/>
          <w14:ligatures w14:val="standardContextual"/>
        </w:rPr>
        <w:t>Nubian</w:t>
      </w:r>
      <w:r w:rsidRPr="00C03E40">
        <w:rPr>
          <w:rFonts w:ascii="Perpetua" w:eastAsia="Calibri" w:hAnsi="Perpetua" w:cs="Calibri"/>
          <w:bCs/>
          <w:kern w:val="2"/>
          <w:sz w:val="20"/>
          <w:szCs w:val="20"/>
          <w14:ligatures w14:val="standardContextual"/>
        </w:rPr>
        <w:t xml:space="preserve"> and </w:t>
      </w:r>
      <w:r w:rsidRPr="00C03E40">
        <w:rPr>
          <w:rFonts w:ascii="Perpetua" w:eastAsia="Calibri" w:hAnsi="Perpetua" w:cs="Calibri"/>
          <w:bCs/>
          <w:i/>
          <w:iCs/>
          <w:kern w:val="2"/>
          <w:sz w:val="20"/>
          <w:szCs w:val="20"/>
          <w14:ligatures w14:val="standardContextual"/>
        </w:rPr>
        <w:t>Egyptian</w:t>
      </w:r>
      <w:r w:rsidRPr="00C03E40">
        <w:rPr>
          <w:rFonts w:ascii="Perpetua" w:eastAsia="Calibri" w:hAnsi="Perpetua" w:cs="Calibri"/>
          <w:bCs/>
          <w:kern w:val="2"/>
          <w:sz w:val="20"/>
          <w:szCs w:val="20"/>
          <w14:ligatures w14:val="standardContextual"/>
        </w:rPr>
        <w:t xml:space="preserve">). </w:t>
      </w:r>
      <w:r w:rsidRPr="00C03E40">
        <w:rPr>
          <w:rFonts w:ascii="Perpetua" w:eastAsia="Calibri" w:hAnsi="Perpetua" w:cs="Calibri"/>
          <w:kern w:val="2"/>
          <w:sz w:val="20"/>
          <w:szCs w:val="20"/>
          <w14:ligatures w14:val="standardContextual"/>
        </w:rPr>
        <w:t>These centers, through their unique linguistic and cultural encounters, underscore two critical insights. First, as scholars like Lamin Sanneh and Andrew Walls have articulated, Christianity has been a world religion since its inception. Second, the discussion of Early African Christianity acknowledges the inherently multicultural nature of African Christianity.</w:t>
      </w:r>
    </w:p>
    <w:p w14:paraId="2F65A65D" w14:textId="77777777" w:rsidR="00C03E40" w:rsidRPr="00C03E40" w:rsidRDefault="00C03E40" w:rsidP="00C03E40">
      <w:pPr>
        <w:spacing w:after="0" w:line="240" w:lineRule="auto"/>
        <w:ind w:firstLine="432"/>
        <w:jc w:val="both"/>
        <w:rPr>
          <w:rFonts w:ascii="Perpetua" w:eastAsia="Calibri" w:hAnsi="Perpetua" w:cs="Calibri"/>
          <w:kern w:val="2"/>
          <w:sz w:val="20"/>
          <w:szCs w:val="20"/>
          <w14:ligatures w14:val="standardContextual"/>
        </w:rPr>
      </w:pPr>
      <w:r w:rsidRPr="00C03E40">
        <w:rPr>
          <w:rFonts w:ascii="Perpetua" w:eastAsia="Calibri" w:hAnsi="Perpetua" w:cs="Calibri"/>
          <w:kern w:val="2"/>
          <w:sz w:val="20"/>
          <w:szCs w:val="20"/>
          <w14:ligatures w14:val="standardContextual"/>
        </w:rPr>
        <w:t>Our goal at the Center for Early African Christianity is to shed light on the foundational role of African theologians in shaping Christian thought but also to invite a reevaluation of the historical narratives surrounding the development of early Christian doctrine and practice. Our hope is that our collaborative efforts stand as a testament to the rich, diverse, and impactful heritage of Early African Christianity, offering new perspectives for both scholarship and faith communities worldwide.</w:t>
      </w:r>
    </w:p>
    <w:p w14:paraId="69AC1539" w14:textId="42B6C137" w:rsidR="00C03E40" w:rsidRPr="00C03E40" w:rsidRDefault="00C03E40" w:rsidP="00C03E40">
      <w:pPr>
        <w:spacing w:after="0" w:line="240" w:lineRule="auto"/>
        <w:ind w:firstLine="432"/>
        <w:jc w:val="both"/>
        <w:rPr>
          <w:rFonts w:ascii="Perpetua" w:eastAsia="Calibri" w:hAnsi="Perpetua" w:cs="Calibri"/>
          <w:color w:val="000000"/>
          <w:kern w:val="2"/>
          <w:sz w:val="20"/>
          <w:szCs w:val="20"/>
          <w14:ligatures w14:val="standardContextual"/>
        </w:rPr>
      </w:pPr>
      <w:r w:rsidRPr="00C03E40">
        <w:rPr>
          <w:rFonts w:ascii="Perpetua" w:eastAsia="Calibri" w:hAnsi="Perpetua" w:cs="Calibri"/>
          <w:color w:val="000000"/>
          <w:kern w:val="2"/>
          <w:sz w:val="20"/>
          <w:szCs w:val="20"/>
          <w14:ligatures w14:val="standardContextual"/>
        </w:rPr>
        <w:t xml:space="preserve">In this issue, Andrew Walls’s introductory article sets the stage by describing the many ways Early African Christianity is important for the global church today. In the biographical section, two new early African biographies will be added to the esteemed ancestors already found in the DACB: Quodvultdeus of Carthage and Hadrian of Canterbury. Both figures were born in Africa but fled the continent under religious persecution and, for the latter, the threat of enslavement. Though neither was able to return to the continent, both profoundly impacted their new communities of faith. Quodvultdeus was celebrated in Naples, and Hadrian was a distinguished contributor to the intellectual and spiritual formation of the church in England. A third biography is included on Giyorgis of Selga, the 14th-century Ethiopian Abba. This complements the biography that already exists in the DACB classic collection. </w:t>
      </w:r>
      <w:r w:rsidR="00463498" w:rsidRPr="00C03E40">
        <w:rPr>
          <w:rFonts w:ascii="Perpetua" w:eastAsia="Calibri" w:hAnsi="Perpetua" w:cs="Calibri"/>
          <w:color w:val="000000"/>
          <w:kern w:val="2"/>
          <w:sz w:val="20"/>
          <w:szCs w:val="20"/>
          <w14:ligatures w14:val="standardContextual"/>
        </w:rPr>
        <w:t xml:space="preserve">A selection of early </w:t>
      </w:r>
      <w:r w:rsidR="00463498" w:rsidRPr="00C03E40">
        <w:rPr>
          <w:rFonts w:ascii="Perpetua" w:eastAsia="Calibri" w:hAnsi="Perpetua" w:cs="Calibri"/>
          <w:color w:val="000000"/>
          <w:kern w:val="2"/>
          <w:sz w:val="20"/>
          <w:szCs w:val="20"/>
          <w14:ligatures w14:val="standardContextual"/>
        </w:rPr>
        <w:lastRenderedPageBreak/>
        <w:t>African Christians from the DACB collection are showcased here as well.</w:t>
      </w:r>
      <w:r w:rsidR="00463498">
        <w:rPr>
          <w:rFonts w:ascii="Perpetua" w:eastAsia="Calibri" w:hAnsi="Perpetua" w:cs="Calibri"/>
          <w:color w:val="000000"/>
          <w:kern w:val="2"/>
          <w:sz w:val="20"/>
          <w:szCs w:val="20"/>
          <w14:ligatures w14:val="standardContextual"/>
        </w:rPr>
        <w:t xml:space="preserve"> </w:t>
      </w:r>
      <w:r w:rsidRPr="00C03E40">
        <w:rPr>
          <w:rFonts w:ascii="Perpetua" w:eastAsia="Calibri" w:hAnsi="Perpetua" w:cs="Calibri"/>
          <w:color w:val="000000"/>
          <w:kern w:val="2"/>
          <w:sz w:val="20"/>
          <w:szCs w:val="20"/>
          <w14:ligatures w14:val="standardContextual"/>
        </w:rPr>
        <w:t xml:space="preserve">We also included a short section on the Gospel writer John Mark later in the issue. This </w:t>
      </w:r>
      <w:r w:rsidR="00463498">
        <w:rPr>
          <w:rFonts w:ascii="Perpetua" w:eastAsia="Calibri" w:hAnsi="Perpetua" w:cs="Calibri"/>
          <w:color w:val="000000"/>
          <w:kern w:val="2"/>
          <w:sz w:val="20"/>
          <w:szCs w:val="20"/>
          <w14:ligatures w14:val="standardContextual"/>
        </w:rPr>
        <w:t>excerpt</w:t>
      </w:r>
      <w:r w:rsidRPr="00C03E40">
        <w:rPr>
          <w:rFonts w:ascii="Perpetua" w:eastAsia="Calibri" w:hAnsi="Perpetua" w:cs="Calibri"/>
          <w:color w:val="000000"/>
          <w:kern w:val="2"/>
          <w:sz w:val="20"/>
          <w:szCs w:val="20"/>
          <w14:ligatures w14:val="standardContextual"/>
        </w:rPr>
        <w:t xml:space="preserve"> from Oden’s 2011 book the </w:t>
      </w:r>
      <w:r w:rsidRPr="00C03E40">
        <w:rPr>
          <w:rFonts w:ascii="Perpetua" w:eastAsia="Calibri" w:hAnsi="Perpetua" w:cs="Calibri"/>
          <w:i/>
          <w:iCs/>
          <w:color w:val="000000"/>
          <w:kern w:val="2"/>
          <w:sz w:val="20"/>
          <w:szCs w:val="20"/>
          <w14:ligatures w14:val="standardContextual"/>
        </w:rPr>
        <w:t>African Memory of Mark: Reassessing Early Church Tradition</w:t>
      </w:r>
      <w:r w:rsidRPr="00C03E40">
        <w:rPr>
          <w:rFonts w:ascii="Perpetua" w:eastAsia="Calibri" w:hAnsi="Perpetua" w:cs="Calibri"/>
          <w:color w:val="000000"/>
          <w:kern w:val="2"/>
          <w:sz w:val="20"/>
          <w:szCs w:val="20"/>
          <w14:ligatures w14:val="standardContextual"/>
        </w:rPr>
        <w:t xml:space="preserve"> (InterVarsity Press.)</w:t>
      </w:r>
      <w:r w:rsidR="00463498">
        <w:rPr>
          <w:rFonts w:ascii="Perpetua" w:eastAsia="Calibri" w:hAnsi="Perpetua" w:cs="Calibri"/>
          <w:color w:val="000000"/>
          <w:kern w:val="2"/>
          <w:sz w:val="20"/>
          <w:szCs w:val="20"/>
          <w14:ligatures w14:val="standardContextual"/>
        </w:rPr>
        <w:t xml:space="preserve"> also includes an important historiographical concept—that of </w:t>
      </w:r>
      <w:r w:rsidR="00463498" w:rsidRPr="00463498">
        <w:rPr>
          <w:rFonts w:ascii="Perpetua" w:eastAsia="Calibri" w:hAnsi="Perpetua" w:cs="Calibri"/>
          <w:i/>
          <w:iCs/>
          <w:color w:val="000000"/>
          <w:kern w:val="2"/>
          <w:sz w:val="20"/>
          <w:szCs w:val="20"/>
          <w14:ligatures w14:val="standardContextual"/>
        </w:rPr>
        <w:t>African memory</w:t>
      </w:r>
      <w:r w:rsidR="00463498">
        <w:rPr>
          <w:rFonts w:ascii="Perpetua" w:eastAsia="Calibri" w:hAnsi="Perpetua" w:cs="Calibri"/>
          <w:color w:val="000000"/>
          <w:kern w:val="2"/>
          <w:sz w:val="20"/>
          <w:szCs w:val="20"/>
          <w14:ligatures w14:val="standardContextual"/>
        </w:rPr>
        <w:t xml:space="preserve"> and how it contrasts with Western memory.</w:t>
      </w:r>
      <w:r w:rsidRPr="00C03E40">
        <w:rPr>
          <w:rFonts w:ascii="Perpetua" w:eastAsia="Calibri" w:hAnsi="Perpetua" w:cs="Calibri"/>
          <w:color w:val="000000"/>
          <w:kern w:val="2"/>
          <w:sz w:val="20"/>
          <w:szCs w:val="20"/>
          <w14:ligatures w14:val="standardContextual"/>
        </w:rPr>
        <w:t xml:space="preserve"> </w:t>
      </w:r>
    </w:p>
    <w:p w14:paraId="09B72AF0" w14:textId="77777777" w:rsidR="00C03E40" w:rsidRPr="00C03E40" w:rsidRDefault="00C03E40" w:rsidP="00C03E40">
      <w:pPr>
        <w:spacing w:after="0" w:line="240" w:lineRule="auto"/>
        <w:ind w:firstLine="432"/>
        <w:jc w:val="both"/>
        <w:rPr>
          <w:rFonts w:ascii="Perpetua" w:eastAsia="Calibri" w:hAnsi="Perpetua" w:cs="Calibri"/>
          <w:color w:val="000000"/>
          <w:kern w:val="2"/>
          <w:sz w:val="20"/>
          <w:szCs w:val="20"/>
          <w14:ligatures w14:val="standardContextual"/>
        </w:rPr>
      </w:pPr>
      <w:r w:rsidRPr="00C03E40">
        <w:rPr>
          <w:rFonts w:ascii="Perpetua" w:eastAsia="Calibri" w:hAnsi="Perpetua" w:cs="Calibri"/>
          <w:color w:val="000000"/>
          <w:kern w:val="2"/>
          <w:sz w:val="20"/>
          <w:szCs w:val="20"/>
          <w14:ligatures w14:val="standardContextual"/>
        </w:rPr>
        <w:t xml:space="preserve">This volume includes three resources made available by CEAC to JACB readers: the abovementioned lecture by Andrews Walls, a transcript of an interview with Lamin Sanneh, and a selection from </w:t>
      </w:r>
      <w:r w:rsidRPr="00C03E40">
        <w:rPr>
          <w:rFonts w:ascii="Perpetua" w:eastAsia="Calibri" w:hAnsi="Perpetua" w:cs="Calibri"/>
          <w:i/>
          <w:iCs/>
          <w:color w:val="000000"/>
          <w:kern w:val="2"/>
          <w:sz w:val="20"/>
          <w:szCs w:val="20"/>
          <w14:ligatures w14:val="standardContextual"/>
        </w:rPr>
        <w:t>We Believe</w:t>
      </w:r>
      <w:r w:rsidRPr="00C03E40">
        <w:rPr>
          <w:rFonts w:ascii="Perpetua" w:eastAsia="Calibri" w:hAnsi="Perpetua" w:cs="Calibri"/>
          <w:color w:val="000000"/>
          <w:kern w:val="2"/>
          <w:sz w:val="20"/>
          <w:szCs w:val="20"/>
          <w14:ligatures w14:val="standardContextual"/>
        </w:rPr>
        <w:t>, an Early African commentary on the Nicene Creed. This work, written by Christopher Hall and commissioned by Oden, illustrates the intellectual and spiritual wisdom of the early African church. These resources affirm and complement Oden’s historiographical legacy.</w:t>
      </w:r>
    </w:p>
    <w:p w14:paraId="52F6FCFF" w14:textId="77777777" w:rsidR="00C03E40" w:rsidRPr="00C03E40" w:rsidRDefault="00C03E40" w:rsidP="00C03E40">
      <w:pPr>
        <w:spacing w:after="0" w:line="240" w:lineRule="auto"/>
        <w:jc w:val="both"/>
        <w:rPr>
          <w:rFonts w:ascii="Perpetua" w:eastAsia="Calibri" w:hAnsi="Perpetua" w:cs="Calibri"/>
          <w:kern w:val="2"/>
          <w:sz w:val="20"/>
          <w:szCs w:val="20"/>
          <w14:ligatures w14:val="standardContextual"/>
        </w:rPr>
      </w:pPr>
    </w:p>
    <w:p w14:paraId="6854AB3C" w14:textId="77777777" w:rsidR="00C03E40" w:rsidRPr="00C03E40" w:rsidRDefault="00C03E40" w:rsidP="00C03E40">
      <w:pPr>
        <w:spacing w:after="0" w:line="240" w:lineRule="auto"/>
        <w:jc w:val="both"/>
        <w:rPr>
          <w:rFonts w:ascii="Perpetua" w:eastAsia="Calibri" w:hAnsi="Perpetua" w:cs="Calibri"/>
          <w:kern w:val="2"/>
          <w:sz w:val="20"/>
          <w:szCs w:val="20"/>
          <w14:ligatures w14:val="standardContextual"/>
        </w:rPr>
      </w:pPr>
    </w:p>
    <w:p w14:paraId="5FEC4D8D" w14:textId="77777777" w:rsidR="000E649F" w:rsidRDefault="000E649F" w:rsidP="00094737"/>
    <w:p w14:paraId="75F8B8C1" w14:textId="4E5F5856" w:rsidR="00A46EBA" w:rsidRPr="00A46EBA" w:rsidRDefault="00C03E40" w:rsidP="00A46EBA">
      <w:pPr>
        <w:spacing w:after="0" w:line="240" w:lineRule="auto"/>
        <w:rPr>
          <w:rFonts w:ascii="Perpetua" w:hAnsi="Perpetua"/>
          <w:b/>
          <w:bCs/>
        </w:rPr>
      </w:pPr>
      <w:r w:rsidRPr="00A46EBA">
        <w:rPr>
          <w:rFonts w:ascii="Perpetua" w:hAnsi="Perpetua"/>
          <w:b/>
          <w:bCs/>
        </w:rPr>
        <w:t>Center for Early African Christianity</w:t>
      </w:r>
      <w:r w:rsidR="00A46EBA" w:rsidRPr="00A46EBA">
        <w:rPr>
          <w:rFonts w:ascii="Perpetua" w:hAnsi="Perpetua"/>
          <w:b/>
          <w:bCs/>
        </w:rPr>
        <w:t xml:space="preserve"> (CEAC)</w:t>
      </w:r>
    </w:p>
    <w:p w14:paraId="61D4C7B0" w14:textId="3B61DA00" w:rsidR="00A46EBA" w:rsidRPr="00A46EBA" w:rsidRDefault="00A46EBA" w:rsidP="00A46EBA">
      <w:pPr>
        <w:spacing w:after="0" w:line="240" w:lineRule="auto"/>
        <w:rPr>
          <w:rFonts w:ascii="Perpetua" w:hAnsi="Perpetua"/>
        </w:rPr>
      </w:pPr>
      <w:r w:rsidRPr="00A46EBA">
        <w:rPr>
          <w:rFonts w:ascii="Perpetua" w:hAnsi="Perpetua"/>
          <w:i/>
          <w:iCs/>
        </w:rPr>
        <w:t>Phone</w:t>
      </w:r>
      <w:r>
        <w:rPr>
          <w:rFonts w:ascii="Perpetua" w:hAnsi="Perpetua"/>
          <w:i/>
          <w:iCs/>
        </w:rPr>
        <w:t>/</w:t>
      </w:r>
      <w:r w:rsidRPr="00A46EBA">
        <w:rPr>
          <w:rFonts w:ascii="Perpetua" w:hAnsi="Perpetua"/>
          <w:i/>
          <w:iCs/>
        </w:rPr>
        <w:t>Whatsapp</w:t>
      </w:r>
      <w:r>
        <w:rPr>
          <w:rFonts w:ascii="Perpetua" w:hAnsi="Perpetua"/>
        </w:rPr>
        <w:t xml:space="preserve">: </w:t>
      </w:r>
      <w:r w:rsidRPr="00A46EBA">
        <w:rPr>
          <w:rFonts w:ascii="Perpetua" w:hAnsi="Perpetua"/>
        </w:rPr>
        <w:t>+1 203.535.1899</w:t>
      </w:r>
    </w:p>
    <w:p w14:paraId="0EEB076F" w14:textId="3A8D809B" w:rsidR="00A46EBA" w:rsidRPr="00A46EBA" w:rsidRDefault="00A46EBA" w:rsidP="00A46EBA">
      <w:pPr>
        <w:spacing w:after="0" w:line="240" w:lineRule="auto"/>
        <w:rPr>
          <w:rFonts w:ascii="Perpetua" w:hAnsi="Perpetua"/>
        </w:rPr>
      </w:pPr>
      <w:r w:rsidRPr="00A46EBA">
        <w:rPr>
          <w:rFonts w:ascii="Perpetua" w:hAnsi="Perpetua"/>
          <w:i/>
          <w:iCs/>
        </w:rPr>
        <w:t>Address</w:t>
      </w:r>
      <w:r>
        <w:rPr>
          <w:rFonts w:ascii="Perpetua" w:hAnsi="Perpetua"/>
        </w:rPr>
        <w:t>:</w:t>
      </w:r>
      <w:r>
        <w:rPr>
          <w:rFonts w:ascii="Perpetua" w:hAnsi="Perpetua"/>
        </w:rPr>
        <w:tab/>
      </w:r>
      <w:r w:rsidRPr="00A46EBA">
        <w:rPr>
          <w:rFonts w:ascii="Perpetua" w:hAnsi="Perpetua"/>
        </w:rPr>
        <w:t>616 Prospect Street</w:t>
      </w:r>
    </w:p>
    <w:p w14:paraId="6988F2C8" w14:textId="77777777" w:rsidR="00A46EBA" w:rsidRPr="00A46EBA" w:rsidRDefault="00A46EBA" w:rsidP="00A46EBA">
      <w:pPr>
        <w:spacing w:after="0" w:line="240" w:lineRule="auto"/>
        <w:ind w:left="432" w:firstLine="432"/>
        <w:rPr>
          <w:rFonts w:ascii="Perpetua" w:hAnsi="Perpetua"/>
        </w:rPr>
      </w:pPr>
      <w:r w:rsidRPr="00A46EBA">
        <w:rPr>
          <w:rFonts w:ascii="Perpetua" w:hAnsi="Perpetua"/>
        </w:rPr>
        <w:t>New Haven, CT 06511</w:t>
      </w:r>
    </w:p>
    <w:p w14:paraId="355D093D" w14:textId="7CBAD262" w:rsidR="00A46EBA" w:rsidRDefault="00A46EBA" w:rsidP="00A46EBA">
      <w:pPr>
        <w:spacing w:after="0" w:line="240" w:lineRule="auto"/>
        <w:rPr>
          <w:rFonts w:ascii="Perpetua" w:hAnsi="Perpetua"/>
        </w:rPr>
      </w:pPr>
      <w:r w:rsidRPr="00A46EBA">
        <w:rPr>
          <w:rFonts w:ascii="Perpetua" w:hAnsi="Perpetua"/>
          <w:i/>
          <w:iCs/>
        </w:rPr>
        <w:t>Email</w:t>
      </w:r>
      <w:r>
        <w:rPr>
          <w:rFonts w:ascii="Perpetua" w:hAnsi="Perpetua"/>
        </w:rPr>
        <w:t>:</w:t>
      </w:r>
      <w:r>
        <w:rPr>
          <w:rFonts w:ascii="Perpetua" w:hAnsi="Perpetua"/>
        </w:rPr>
        <w:tab/>
      </w:r>
      <w:hyperlink r:id="rId19" w:history="1">
        <w:r w:rsidRPr="00260AD3">
          <w:rPr>
            <w:rStyle w:val="Hyperlink"/>
            <w:rFonts w:ascii="Perpetua" w:hAnsi="Perpetua"/>
          </w:rPr>
          <w:t>info@earlyafricanchristianity.com</w:t>
        </w:r>
      </w:hyperlink>
    </w:p>
    <w:p w14:paraId="431B4357" w14:textId="5242C479" w:rsidR="00A46EBA" w:rsidRPr="00C03E40" w:rsidRDefault="00A46EBA" w:rsidP="00A46EBA">
      <w:pPr>
        <w:spacing w:after="0" w:line="240" w:lineRule="auto"/>
        <w:rPr>
          <w:rFonts w:ascii="Perpetua" w:hAnsi="Perpetua"/>
        </w:rPr>
      </w:pPr>
      <w:r w:rsidRPr="00A46EBA">
        <w:rPr>
          <w:rFonts w:ascii="Perpetua" w:hAnsi="Perpetua"/>
          <w:i/>
          <w:iCs/>
        </w:rPr>
        <w:t>Website</w:t>
      </w:r>
      <w:r>
        <w:rPr>
          <w:rFonts w:ascii="Perpetua" w:hAnsi="Perpetua"/>
        </w:rPr>
        <w:t>:</w:t>
      </w:r>
      <w:r>
        <w:rPr>
          <w:rFonts w:ascii="Perpetua" w:hAnsi="Perpetua"/>
        </w:rPr>
        <w:tab/>
      </w:r>
      <w:hyperlink r:id="rId20" w:history="1">
        <w:r w:rsidRPr="00260AD3">
          <w:rPr>
            <w:rStyle w:val="Hyperlink"/>
            <w:rFonts w:ascii="Perpetua" w:hAnsi="Perpetua"/>
          </w:rPr>
          <w:t>https://www.earlyafricanchristianity.com/</w:t>
        </w:r>
      </w:hyperlink>
      <w:r>
        <w:rPr>
          <w:rFonts w:ascii="Perpetua" w:hAnsi="Perpetua"/>
        </w:rPr>
        <w:t xml:space="preserve"> </w:t>
      </w:r>
    </w:p>
    <w:p w14:paraId="5E49F258" w14:textId="36A26964" w:rsidR="00344E4F" w:rsidRDefault="00344E4F" w:rsidP="0025304C">
      <w:pPr>
        <w:spacing w:after="0" w:line="240" w:lineRule="auto"/>
      </w:pPr>
      <w:r>
        <w:br w:type="page"/>
      </w:r>
    </w:p>
    <w:p w14:paraId="34F232B8" w14:textId="626B770A" w:rsidR="008C0875" w:rsidRPr="008C0875" w:rsidRDefault="008C0875" w:rsidP="00A81E76">
      <w:pPr>
        <w:pStyle w:val="DACBHeading1"/>
        <w:rPr>
          <w:rFonts w:eastAsia="Calibri"/>
          <w:kern w:val="2"/>
          <w:sz w:val="20"/>
          <w:szCs w:val="20"/>
          <w14:ligatures w14:val="standardContextual"/>
        </w:rPr>
      </w:pPr>
      <w:bookmarkStart w:id="1" w:name="_Toc158365914"/>
      <w:r w:rsidRPr="00A81E76">
        <w:lastRenderedPageBreak/>
        <w:t>Does Early African Christianity Matter Today?</w:t>
      </w:r>
      <w:r w:rsidR="00344E4F" w:rsidRPr="00A81E76">
        <w:br/>
      </w:r>
      <w:r w:rsidR="00344E4F" w:rsidRPr="00A81E76">
        <w:br/>
      </w:r>
      <w:r w:rsidR="00344E4F" w:rsidRPr="00A81E76">
        <w:rPr>
          <w:sz w:val="22"/>
          <w:szCs w:val="22"/>
        </w:rPr>
        <w:t xml:space="preserve">By </w:t>
      </w:r>
      <w:r w:rsidRPr="00A81E76">
        <w:rPr>
          <w:sz w:val="22"/>
          <w:szCs w:val="22"/>
        </w:rPr>
        <w:t>Andrew F. Walls</w:t>
      </w:r>
      <w:r>
        <w:rPr>
          <w:rStyle w:val="FootnoteReference"/>
          <w:sz w:val="22"/>
          <w:szCs w:val="22"/>
        </w:rPr>
        <w:footnoteReference w:id="4"/>
      </w:r>
      <w:r>
        <w:t xml:space="preserve"> </w:t>
      </w:r>
      <w:r>
        <w:br/>
      </w:r>
      <w:r w:rsidR="00542CC4">
        <w:rPr>
          <w:rFonts w:eastAsia="Calibri"/>
          <w:kern w:val="2"/>
          <w:sz w:val="20"/>
          <w:szCs w:val="20"/>
          <w14:ligatures w14:val="standardContextual"/>
        </w:rPr>
        <w:t>(April 21, 1928 – August 12, 2021)</w:t>
      </w:r>
      <w:bookmarkEnd w:id="1"/>
    </w:p>
    <w:p w14:paraId="4A909316" w14:textId="77777777" w:rsidR="008C0875" w:rsidRPr="008C0875" w:rsidRDefault="008C0875" w:rsidP="00094737">
      <w:pPr>
        <w:spacing w:after="0" w:line="240" w:lineRule="auto"/>
        <w:jc w:val="both"/>
        <w:rPr>
          <w:rFonts w:ascii="Perpetua" w:eastAsia="Calibri" w:hAnsi="Perpetua" w:cs="Times New Roman"/>
          <w:kern w:val="2"/>
          <w:sz w:val="20"/>
          <w:szCs w:val="20"/>
          <w14:ligatures w14:val="standardContextual"/>
        </w:rPr>
      </w:pPr>
    </w:p>
    <w:p w14:paraId="27678F75" w14:textId="77777777" w:rsidR="008C0875" w:rsidRPr="008C0875" w:rsidRDefault="008C0875" w:rsidP="00094737">
      <w:pPr>
        <w:spacing w:after="0" w:line="240" w:lineRule="auto"/>
        <w:jc w:val="both"/>
        <w:rPr>
          <w:rFonts w:ascii="Perpetua" w:eastAsia="Calibri" w:hAnsi="Perpetua" w:cs="Times New Roman"/>
          <w:b/>
          <w:bCs/>
          <w:kern w:val="2"/>
          <w:sz w:val="20"/>
          <w:szCs w:val="20"/>
          <w14:ligatures w14:val="standardContextual"/>
        </w:rPr>
      </w:pPr>
      <w:r w:rsidRPr="008C0875">
        <w:rPr>
          <w:rFonts w:ascii="Perpetua" w:eastAsia="Calibri" w:hAnsi="Perpetua" w:cs="Times New Roman"/>
          <w:b/>
          <w:bCs/>
          <w:kern w:val="2"/>
          <w:sz w:val="20"/>
          <w:szCs w:val="20"/>
          <w14:ligatures w14:val="standardContextual"/>
        </w:rPr>
        <w:t>Introduction</w:t>
      </w:r>
    </w:p>
    <w:p w14:paraId="4AF73486" w14:textId="77777777" w:rsidR="008C0875" w:rsidRPr="008C0875" w:rsidRDefault="008C0875" w:rsidP="00094737">
      <w:pPr>
        <w:spacing w:after="0" w:line="240" w:lineRule="auto"/>
        <w:jc w:val="both"/>
        <w:rPr>
          <w:rFonts w:ascii="Perpetua" w:eastAsia="Calibri" w:hAnsi="Perpetua" w:cs="Times New Roman"/>
          <w:kern w:val="2"/>
          <w:sz w:val="20"/>
          <w:szCs w:val="20"/>
          <w14:ligatures w14:val="standardContextual"/>
        </w:rPr>
      </w:pPr>
    </w:p>
    <w:p w14:paraId="08A6DB4A" w14:textId="77777777" w:rsidR="008C0875" w:rsidRPr="008C0875" w:rsidRDefault="008C0875" w:rsidP="00094737">
      <w:pPr>
        <w:spacing w:after="0" w:line="240" w:lineRule="auto"/>
        <w:jc w:val="both"/>
        <w:rPr>
          <w:rFonts w:ascii="Perpetua" w:eastAsia="Calibri" w:hAnsi="Perpetua" w:cs="Times New Roman"/>
          <w:kern w:val="2"/>
          <w:sz w:val="20"/>
          <w:szCs w:val="20"/>
          <w14:ligatures w14:val="standardContextual"/>
        </w:rPr>
      </w:pPr>
      <w:r w:rsidRPr="008C0875">
        <w:rPr>
          <w:rFonts w:ascii="Perpetua" w:eastAsia="Calibri" w:hAnsi="Perpetua" w:cs="Times New Roman"/>
          <w:kern w:val="2"/>
          <w:sz w:val="20"/>
          <w:szCs w:val="20"/>
          <w14:ligatures w14:val="standardContextual"/>
        </w:rPr>
        <w:t xml:space="preserve">Thank you, Rector, for your extremely kind and generous introduction. It is always a joy to be at the Akrofi-Christaller Institute and to share in its ministry of the furtherance of Christian Scholarship. The strange times in which we are currently living have caused a longer physical absence from the Institute for my wife and myself, a loss which we both felt deeply, though we have had some consolation in occasions like the present which enable us to connect and interact in what might be called disembodied form. We have been particularly heartened by the emergence of the Center for the Study of Early African Christianity as the latest of the Institute’s nuclei for research, and we look forward to it under the able leadership of [its director] Dr. Rudolf [K.] Gaisie, becoming a force of creative activity. </w:t>
      </w:r>
    </w:p>
    <w:p w14:paraId="04375ADC" w14:textId="77777777" w:rsidR="008C0875" w:rsidRPr="008C0875" w:rsidRDefault="008C0875" w:rsidP="00094737">
      <w:pPr>
        <w:spacing w:after="0" w:line="240" w:lineRule="auto"/>
        <w:ind w:firstLine="432"/>
        <w:jc w:val="both"/>
        <w:rPr>
          <w:rFonts w:ascii="Perpetua" w:eastAsia="Calibri" w:hAnsi="Perpetua" w:cs="Times New Roman"/>
          <w:kern w:val="2"/>
          <w:sz w:val="20"/>
          <w:szCs w:val="20"/>
          <w14:ligatures w14:val="standardContextual"/>
        </w:rPr>
      </w:pPr>
      <w:r w:rsidRPr="008C0875">
        <w:rPr>
          <w:rFonts w:ascii="Perpetua" w:eastAsia="Calibri" w:hAnsi="Perpetua" w:cs="Times New Roman"/>
          <w:kern w:val="2"/>
          <w:sz w:val="20"/>
          <w:szCs w:val="20"/>
          <w14:ligatures w14:val="standardContextual"/>
        </w:rPr>
        <w:t>It was, therefore, not only with joy but with a high sense of the honor and privilege involved that I accepted the invitation to give the Center's inaugural public lecture. But only a few days ago did I realize the extent of the honor done me, as I find that not only has my name been attached to the series of lectures which it opens, but it has linked there with two other names of the highest distinction those of Thomas C. Oden and Kwame Bediako.</w:t>
      </w:r>
    </w:p>
    <w:p w14:paraId="5AA56D82" w14:textId="77777777" w:rsidR="008C0875" w:rsidRPr="008C0875" w:rsidRDefault="008C0875" w:rsidP="00094737">
      <w:pPr>
        <w:spacing w:after="0" w:line="240" w:lineRule="auto"/>
        <w:ind w:firstLine="432"/>
        <w:jc w:val="both"/>
        <w:rPr>
          <w:rFonts w:ascii="Perpetua" w:eastAsia="Calibri" w:hAnsi="Perpetua" w:cs="Times New Roman"/>
          <w:kern w:val="2"/>
          <w:sz w:val="20"/>
          <w:szCs w:val="20"/>
          <w14:ligatures w14:val="standardContextual"/>
        </w:rPr>
      </w:pPr>
      <w:r w:rsidRPr="008C0875">
        <w:rPr>
          <w:rFonts w:ascii="Perpetua" w:eastAsia="Calibri" w:hAnsi="Perpetua" w:cs="Times New Roman"/>
          <w:kern w:val="2"/>
          <w:sz w:val="20"/>
          <w:szCs w:val="20"/>
          <w14:ligatures w14:val="standardContextual"/>
        </w:rPr>
        <w:t>Thomas Oden, more than anyone else living or dead has answered the question that I raise in the title of this lecture; he more than anyone else has demonstrated how Early African Christianity shaped the theological inheritance of Western Christianity, how it molded, and to good effect, the thinking and spiritual perceptions shared by the most influential and determinative traditions of Christian thinking – that we are increasingly learning to call ‘Classical Christian Thought’.</w:t>
      </w:r>
      <w:r w:rsidRPr="008C0875">
        <w:rPr>
          <w:rFonts w:ascii="Perpetua" w:eastAsia="Calibri" w:hAnsi="Perpetua" w:cs="Times New Roman"/>
          <w:kern w:val="2"/>
          <w:sz w:val="20"/>
          <w:szCs w:val="20"/>
          <w:vertAlign w:val="superscript"/>
          <w14:ligatures w14:val="standardContextual"/>
        </w:rPr>
        <w:footnoteReference w:id="5"/>
      </w:r>
      <w:r w:rsidRPr="008C0875">
        <w:rPr>
          <w:rFonts w:ascii="Perpetua" w:eastAsia="Calibri" w:hAnsi="Perpetua" w:cs="Times New Roman"/>
          <w:kern w:val="2"/>
          <w:sz w:val="20"/>
          <w:szCs w:val="20"/>
          <w14:ligatures w14:val="standardContextual"/>
        </w:rPr>
        <w:t xml:space="preserve"> It is a delight to find that the Oden Center [for Early African Christianity (CEAC)] in New Haven, Connecticut under its energetic director, Dr. Michael Glerup, is co-sponsoring this lecture. But along with Oden’s name, the lecture series bears the name of my dear friend of many years, Kwame Bediako, founder of this Institute (ACI), but also, by any reckoning, one of the formative representatives of African theology in modern times. Kwame Bediako enthusiastically forwarded the study of Early African Christianity; and in the early days </w:t>
      </w:r>
      <w:r w:rsidRPr="008C0875">
        <w:rPr>
          <w:rFonts w:ascii="Perpetua" w:eastAsia="Calibri" w:hAnsi="Perpetua" w:cs="Times New Roman"/>
          <w:kern w:val="2"/>
          <w:sz w:val="20"/>
          <w:szCs w:val="20"/>
          <w14:ligatures w14:val="standardContextual"/>
        </w:rPr>
        <w:lastRenderedPageBreak/>
        <w:t>of the Institute, I had the privilege of sharing with him in the teaching of the course [Studies in Early African Christianity in the First Six Centuries]. His own theological thinking was steeped in the literature of the early Church, and in his best known book, he traces how second and third century Christian thinkers were wrestling with concerns essentially parallel to those of the African theologians of the twentieth century.</w:t>
      </w:r>
      <w:r w:rsidRPr="008C0875">
        <w:rPr>
          <w:rFonts w:ascii="Perpetua" w:eastAsia="Calibri" w:hAnsi="Perpetua" w:cs="Times New Roman"/>
          <w:kern w:val="2"/>
          <w:sz w:val="20"/>
          <w:szCs w:val="20"/>
          <w:vertAlign w:val="superscript"/>
          <w14:ligatures w14:val="standardContextual"/>
        </w:rPr>
        <w:footnoteReference w:id="6"/>
      </w:r>
      <w:r w:rsidRPr="008C0875">
        <w:rPr>
          <w:rFonts w:ascii="Perpetua" w:eastAsia="Calibri" w:hAnsi="Perpetua" w:cs="Times New Roman"/>
          <w:kern w:val="2"/>
          <w:sz w:val="20"/>
          <w:szCs w:val="20"/>
          <w14:ligatures w14:val="standardContextual"/>
        </w:rPr>
        <w:t xml:space="preserve"> That is, what was God doing in our own ancestral cultures to prepare humanity for the Incarnation when He was preparing Israel to be its vehicle?</w:t>
      </w:r>
    </w:p>
    <w:p w14:paraId="1766E7ED" w14:textId="77777777" w:rsidR="008C0875" w:rsidRPr="008C0875" w:rsidRDefault="008C0875" w:rsidP="00094737">
      <w:pPr>
        <w:spacing w:after="0" w:line="240" w:lineRule="auto"/>
        <w:ind w:firstLine="432"/>
        <w:jc w:val="both"/>
        <w:rPr>
          <w:rFonts w:ascii="Perpetua" w:eastAsia="Calibri" w:hAnsi="Perpetua" w:cs="Times New Roman"/>
          <w:kern w:val="2"/>
          <w:sz w:val="20"/>
          <w:szCs w:val="20"/>
          <w14:ligatures w14:val="standardContextual"/>
        </w:rPr>
      </w:pPr>
      <w:r w:rsidRPr="008C0875">
        <w:rPr>
          <w:rFonts w:ascii="Perpetua" w:eastAsia="Calibri" w:hAnsi="Perpetua" w:cs="Times New Roman"/>
          <w:kern w:val="2"/>
          <w:sz w:val="20"/>
          <w:szCs w:val="20"/>
          <w14:ligatures w14:val="standardContextual"/>
        </w:rPr>
        <w:t xml:space="preserve">If Oden showed how Africa has shaped the modern Western Christian mind, Bediako has shown the relevance of the quest of early Christianity to the concerns of modern African. With these mighty exemplars in mind, I hope to show that early African Christianity does matter today. And for that purpose, we may begin in the New Testament. </w:t>
      </w:r>
    </w:p>
    <w:p w14:paraId="61DC1E73" w14:textId="77777777" w:rsidR="008C0875" w:rsidRPr="008C0875" w:rsidRDefault="008C0875" w:rsidP="00094737">
      <w:pPr>
        <w:spacing w:after="0" w:line="240" w:lineRule="auto"/>
        <w:jc w:val="both"/>
        <w:rPr>
          <w:rFonts w:ascii="Perpetua" w:eastAsia="Calibri" w:hAnsi="Perpetua" w:cs="Times New Roman"/>
          <w:kern w:val="2"/>
          <w:sz w:val="20"/>
          <w:szCs w:val="20"/>
          <w14:ligatures w14:val="standardContextual"/>
        </w:rPr>
      </w:pPr>
    </w:p>
    <w:p w14:paraId="54891A30" w14:textId="77777777" w:rsidR="008C0875" w:rsidRPr="008C0875" w:rsidRDefault="008C0875" w:rsidP="00094737">
      <w:pPr>
        <w:spacing w:after="0" w:line="240" w:lineRule="auto"/>
        <w:jc w:val="both"/>
        <w:rPr>
          <w:rFonts w:ascii="Perpetua" w:eastAsia="Calibri" w:hAnsi="Perpetua" w:cs="Times New Roman"/>
          <w:b/>
          <w:bCs/>
          <w:kern w:val="2"/>
          <w:sz w:val="20"/>
          <w:szCs w:val="20"/>
          <w14:ligatures w14:val="standardContextual"/>
        </w:rPr>
      </w:pPr>
      <w:r w:rsidRPr="008C0875">
        <w:rPr>
          <w:rFonts w:ascii="Perpetua" w:eastAsia="Calibri" w:hAnsi="Perpetua" w:cs="Times New Roman"/>
          <w:b/>
          <w:bCs/>
          <w:kern w:val="2"/>
          <w:sz w:val="20"/>
          <w:szCs w:val="20"/>
          <w14:ligatures w14:val="standardContextual"/>
        </w:rPr>
        <w:t>The New Testament Beginning of Early African Christianity</w:t>
      </w:r>
    </w:p>
    <w:p w14:paraId="2ABE794F" w14:textId="77777777" w:rsidR="008C0875" w:rsidRPr="008C0875" w:rsidRDefault="008C0875" w:rsidP="00094737">
      <w:pPr>
        <w:spacing w:after="0" w:line="240" w:lineRule="auto"/>
        <w:jc w:val="both"/>
        <w:rPr>
          <w:rFonts w:ascii="Perpetua" w:eastAsia="Calibri" w:hAnsi="Perpetua" w:cs="Times New Roman"/>
          <w:kern w:val="2"/>
          <w:sz w:val="20"/>
          <w:szCs w:val="20"/>
          <w14:ligatures w14:val="standardContextual"/>
        </w:rPr>
      </w:pPr>
    </w:p>
    <w:p w14:paraId="68408551" w14:textId="77777777" w:rsidR="008C0875" w:rsidRPr="008C0875" w:rsidRDefault="008C0875" w:rsidP="00094737">
      <w:pPr>
        <w:spacing w:after="0" w:line="240" w:lineRule="auto"/>
        <w:jc w:val="both"/>
        <w:rPr>
          <w:rFonts w:ascii="Perpetua" w:eastAsia="Calibri" w:hAnsi="Perpetua" w:cs="Times New Roman"/>
          <w:kern w:val="2"/>
          <w:sz w:val="20"/>
          <w:szCs w:val="20"/>
          <w14:ligatures w14:val="standardContextual"/>
        </w:rPr>
      </w:pPr>
      <w:r w:rsidRPr="008C0875">
        <w:rPr>
          <w:rFonts w:ascii="Perpetua" w:eastAsia="Calibri" w:hAnsi="Perpetua" w:cs="Times New Roman"/>
          <w:kern w:val="2"/>
          <w:sz w:val="20"/>
          <w:szCs w:val="20"/>
          <w14:ligatures w14:val="standardContextual"/>
        </w:rPr>
        <w:t xml:space="preserve">The Acts of the Apostles is a carefully constructed book. Its prospectus is laid out in the opening verses where the risen Lord tells His disciples after the resurrection that when the Spirit has come, they are to be His witnesses in Jerusalem and all Judea and Samaria and to the uttermost parts of the earth [Acts 1:8]. And so, the early chapters of Acts introduce us to that witness in Jerusalem and all Judea and in Samaria, and then, with pointers from the stories of Philip and Cornelius and the conversion of Saul, we are led to the mission to the Gentile world, the world beyond Israel. As these stories progress we realize that Luke particularly wants us to note the westward movement of the Gospel, from its beginnings on the fringes of the Roman Empire to its climax in Paul's preaching the Gospel in Rome itself – from the Palestinian point of view this progress could count as one to the ends of the earth, and Paul preaching in Rome represents not only the end of Luke’s narrative, but its high point. </w:t>
      </w:r>
    </w:p>
    <w:p w14:paraId="0E47686B" w14:textId="77777777" w:rsidR="008C0875" w:rsidRPr="008C0875" w:rsidRDefault="008C0875" w:rsidP="00094737">
      <w:pPr>
        <w:spacing w:after="0" w:line="240" w:lineRule="auto"/>
        <w:ind w:firstLine="432"/>
        <w:jc w:val="both"/>
        <w:rPr>
          <w:rFonts w:ascii="Perpetua" w:eastAsia="Calibri" w:hAnsi="Perpetua" w:cs="Times New Roman"/>
          <w:kern w:val="2"/>
          <w:sz w:val="20"/>
          <w:szCs w:val="20"/>
          <w14:ligatures w14:val="standardContextual"/>
        </w:rPr>
      </w:pPr>
      <w:r w:rsidRPr="008C0875">
        <w:rPr>
          <w:rFonts w:ascii="Perpetua" w:eastAsia="Calibri" w:hAnsi="Perpetua" w:cs="Times New Roman"/>
          <w:kern w:val="2"/>
          <w:sz w:val="20"/>
          <w:szCs w:val="20"/>
          <w14:ligatures w14:val="standardContextual"/>
        </w:rPr>
        <w:t xml:space="preserve">There is one exception to this concern with the spread of the Gospel westward; it is in Chapter 8, with the story of the Ethiopian eunuch, whom we last see as a baptized believer rejoicing on his way back into the heart of Africa. We hear no more of him; Luke clearly does not know what happened when he got home, and the Spirit caught Philip away and took him somewhere else. It is as though Luke is telling his readers: yes, my story is about the westward spread of the Gospel, but not all roads lead to Rome. There are other stories of the Kingdom of God, other stories about other highways along which the Gospel travels to the ends of the earth. One day those highways will join up. </w:t>
      </w:r>
    </w:p>
    <w:p w14:paraId="647D8B3D" w14:textId="77777777" w:rsidR="008C0875" w:rsidRPr="008C0875" w:rsidRDefault="008C0875" w:rsidP="00094737">
      <w:pPr>
        <w:spacing w:after="0" w:line="240" w:lineRule="auto"/>
        <w:jc w:val="both"/>
        <w:rPr>
          <w:rFonts w:ascii="Perpetua" w:eastAsia="Calibri" w:hAnsi="Perpetua" w:cs="Times New Roman"/>
          <w:kern w:val="2"/>
          <w:sz w:val="20"/>
          <w:szCs w:val="20"/>
          <w14:ligatures w14:val="standardContextual"/>
        </w:rPr>
      </w:pPr>
    </w:p>
    <w:p w14:paraId="3F53901B" w14:textId="77777777" w:rsidR="008C0875" w:rsidRPr="008C0875" w:rsidRDefault="008C0875" w:rsidP="00094737">
      <w:pPr>
        <w:spacing w:after="0" w:line="240" w:lineRule="auto"/>
        <w:jc w:val="both"/>
        <w:rPr>
          <w:rFonts w:ascii="Perpetua" w:eastAsia="Calibri" w:hAnsi="Perpetua" w:cs="Times New Roman"/>
          <w:b/>
          <w:bCs/>
          <w:kern w:val="2"/>
          <w:sz w:val="20"/>
          <w:szCs w:val="20"/>
          <w14:ligatures w14:val="standardContextual"/>
        </w:rPr>
      </w:pPr>
      <w:r w:rsidRPr="008C0875">
        <w:rPr>
          <w:rFonts w:ascii="Perpetua" w:eastAsia="Calibri" w:hAnsi="Perpetua" w:cs="Times New Roman"/>
          <w:b/>
          <w:bCs/>
          <w:kern w:val="2"/>
          <w:sz w:val="20"/>
          <w:szCs w:val="20"/>
          <w14:ligatures w14:val="standardContextual"/>
        </w:rPr>
        <w:t>Differences in Early and Modern North Africa</w:t>
      </w:r>
    </w:p>
    <w:p w14:paraId="03CC39B3" w14:textId="77777777" w:rsidR="008C0875" w:rsidRPr="008C0875" w:rsidRDefault="008C0875" w:rsidP="00094737">
      <w:pPr>
        <w:spacing w:after="0" w:line="240" w:lineRule="auto"/>
        <w:jc w:val="both"/>
        <w:rPr>
          <w:rFonts w:ascii="Perpetua" w:eastAsia="Calibri" w:hAnsi="Perpetua" w:cs="Times New Roman"/>
          <w:kern w:val="2"/>
          <w:sz w:val="20"/>
          <w:szCs w:val="20"/>
          <w14:ligatures w14:val="standardContextual"/>
        </w:rPr>
      </w:pPr>
    </w:p>
    <w:p w14:paraId="4CCE2BFE" w14:textId="77777777" w:rsidR="008C0875" w:rsidRPr="008C0875" w:rsidRDefault="008C0875" w:rsidP="00094737">
      <w:pPr>
        <w:spacing w:after="0" w:line="240" w:lineRule="auto"/>
        <w:jc w:val="both"/>
        <w:rPr>
          <w:rFonts w:ascii="Perpetua" w:eastAsia="Calibri" w:hAnsi="Perpetua" w:cs="Times New Roman"/>
          <w:kern w:val="2"/>
          <w:sz w:val="20"/>
          <w:szCs w:val="20"/>
          <w14:ligatures w14:val="standardContextual"/>
        </w:rPr>
      </w:pPr>
      <w:r w:rsidRPr="008C0875">
        <w:rPr>
          <w:rFonts w:ascii="Perpetua" w:eastAsia="Calibri" w:hAnsi="Perpetua" w:cs="Times New Roman"/>
          <w:kern w:val="2"/>
          <w:sz w:val="20"/>
          <w:szCs w:val="20"/>
          <w14:ligatures w14:val="standardContextual"/>
        </w:rPr>
        <w:t xml:space="preserve">When Luke wrote a substantial part of Africa lay within the Roman Empire, the sphere in which the which the mission of Paul represents, and during the early Christian </w:t>
      </w:r>
      <w:r w:rsidRPr="008C0875">
        <w:rPr>
          <w:rFonts w:ascii="Perpetua" w:eastAsia="Calibri" w:hAnsi="Perpetua" w:cs="Times New Roman"/>
          <w:kern w:val="2"/>
          <w:sz w:val="20"/>
          <w:szCs w:val="20"/>
          <w14:ligatures w14:val="standardContextual"/>
        </w:rPr>
        <w:lastRenderedPageBreak/>
        <w:t>centuries those provinces – forming what today we think of as Egypt, Libya, Tunisia, Algeria, north of the Atlas Mountains, together with parts of Morocco were major Christian centers, with strong churches and active Christian communities. We must remember that they are different from the countries of today in the makeup of their population. The Arabs had not arrived from Arabia until the seventh century. The cities – including major metropolitan centers such as Alexandria and Carthage and the peri-urban populations shared in Roman imperial culture; Greek speaking in the East, Latin speaking in the West. Empires usually have a globalizing, centralizing tendency. But there were also vernacular speaking communities not fully assimilated to the dominant culture, such as Copts and Berbers and we will need to consider their special place in the Christian story.</w:t>
      </w:r>
    </w:p>
    <w:p w14:paraId="1C7A904F" w14:textId="77777777" w:rsidR="008C0875" w:rsidRPr="008C0875" w:rsidRDefault="008C0875" w:rsidP="00094737">
      <w:pPr>
        <w:spacing w:after="0" w:line="240" w:lineRule="auto"/>
        <w:ind w:firstLine="432"/>
        <w:jc w:val="both"/>
        <w:rPr>
          <w:rFonts w:ascii="Perpetua" w:eastAsia="Calibri" w:hAnsi="Perpetua" w:cs="Times New Roman"/>
          <w:kern w:val="2"/>
          <w:sz w:val="20"/>
          <w:szCs w:val="20"/>
          <w14:ligatures w14:val="standardContextual"/>
        </w:rPr>
      </w:pPr>
      <w:r w:rsidRPr="008C0875">
        <w:rPr>
          <w:rFonts w:ascii="Perpetua" w:eastAsia="Calibri" w:hAnsi="Perpetua" w:cs="Times New Roman"/>
          <w:kern w:val="2"/>
          <w:sz w:val="20"/>
          <w:szCs w:val="20"/>
          <w14:ligatures w14:val="standardContextual"/>
        </w:rPr>
        <w:t xml:space="preserve"> Another crucial difference from later times is that camels were not yet in use in North Africa, and as a result, there was not yet an easy trans-Saharan route to the West to the West African savannahs; nor were there oceangoing vessels operating south of the Sahara. Roman territorial ambitions ended at the Atlas Mountains. </w:t>
      </w:r>
    </w:p>
    <w:p w14:paraId="24FEE2CB" w14:textId="77777777" w:rsidR="008C0875" w:rsidRPr="008C0875" w:rsidRDefault="008C0875" w:rsidP="00094737">
      <w:pPr>
        <w:spacing w:after="0" w:line="240" w:lineRule="auto"/>
        <w:ind w:firstLine="432"/>
        <w:jc w:val="both"/>
        <w:rPr>
          <w:rFonts w:ascii="Perpetua" w:eastAsia="Calibri" w:hAnsi="Perpetua" w:cs="Times New Roman"/>
          <w:kern w:val="2"/>
          <w:sz w:val="20"/>
          <w:szCs w:val="20"/>
          <w14:ligatures w14:val="standardContextual"/>
        </w:rPr>
      </w:pPr>
      <w:r w:rsidRPr="008C0875">
        <w:rPr>
          <w:rFonts w:ascii="Perpetua" w:eastAsia="Calibri" w:hAnsi="Perpetua" w:cs="Times New Roman"/>
          <w:kern w:val="2"/>
          <w:sz w:val="20"/>
          <w:szCs w:val="20"/>
          <w14:ligatures w14:val="standardContextual"/>
        </w:rPr>
        <w:t>But Luke’s story in Acts 8 points in another direction to Africa up the Nile valley and the peoples along that valley known in Egypt for centuries past. The high official that Philip met was, we are told, in the service of the Kandak</w:t>
      </w:r>
      <w:r w:rsidRPr="008C0875">
        <w:rPr>
          <w:rFonts w:ascii="Cambria" w:eastAsia="Calibri" w:hAnsi="Cambria" w:cs="Cambria"/>
          <w:kern w:val="2"/>
          <w:sz w:val="20"/>
          <w:szCs w:val="20"/>
          <w14:ligatures w14:val="standardContextual"/>
        </w:rPr>
        <w:t>ē</w:t>
      </w:r>
      <w:r w:rsidRPr="008C0875">
        <w:rPr>
          <w:rFonts w:ascii="Perpetua" w:eastAsia="Calibri" w:hAnsi="Perpetua" w:cs="Times New Roman"/>
          <w:kern w:val="2"/>
          <w:sz w:val="20"/>
          <w:szCs w:val="20"/>
          <w14:ligatures w14:val="standardContextual"/>
        </w:rPr>
        <w:t xml:space="preserve"> [Candace]. This is a Nubian term associated with the independent African Kingdom of Meroe, located in what we now call the Sudan Republic. As we shall see, there was to arise a Christian state in Nubia for a thousand years. A still stronger Christian history, still continuing with vigor in our own time, lies in the complex Christian story of Ethiopia with a Christian history far stronger and longer than my own country [Scotland] can boast.</w:t>
      </w:r>
    </w:p>
    <w:p w14:paraId="614F5325" w14:textId="77777777" w:rsidR="008C0875" w:rsidRPr="008C0875" w:rsidRDefault="008C0875" w:rsidP="00094737">
      <w:pPr>
        <w:spacing w:after="0" w:line="240" w:lineRule="auto"/>
        <w:ind w:firstLine="432"/>
        <w:jc w:val="both"/>
        <w:rPr>
          <w:rFonts w:ascii="Perpetua" w:eastAsia="Calibri" w:hAnsi="Perpetua" w:cs="Times New Roman"/>
          <w:kern w:val="2"/>
          <w:sz w:val="20"/>
          <w:szCs w:val="20"/>
          <w14:ligatures w14:val="standardContextual"/>
        </w:rPr>
      </w:pPr>
      <w:r w:rsidRPr="008C0875">
        <w:rPr>
          <w:rFonts w:ascii="Perpetua" w:eastAsia="Calibri" w:hAnsi="Perpetua" w:cs="Times New Roman"/>
          <w:kern w:val="2"/>
          <w:sz w:val="20"/>
          <w:szCs w:val="20"/>
          <w14:ligatures w14:val="standardContextual"/>
        </w:rPr>
        <w:t xml:space="preserve">Early Christian Africa was thus to a very considerably in extent and population, concentrated in a thick band across North Africa and along the Nile Valley, with a notable presence in the heart of eastern Africa. Immediately it strikes us that the greater part of the area covered by this early African Christianity is not immediately associated with Christianity today. The parts of Africa where Christians are most notable today were unknown or inaccessible to most Christians of the early centuries. There are, of course, exceptions: Egypt can no longer, as in the early Christians centuries, be seen as essentially Christian territory, but it still has a substantial Christian population and a continuous Christian history since the early centuries of which it remains very conscious. In conversation with a Coptic bishop today it is very easy to get the impression that Athanasius may be waiting in the next room. In Ethiopia the sense of continuity with the early church is even stronger; every department of life seems to have been impacted by Christian themes, Christian reflection, Biblical language. Ploughs and working tools are covered with Christian themes of Scriptural allusions. Even butchers’ meat is slaughtered with the invocation of the Holy Trinity. Here an ancient Christian tradition took local form, with a unique language for worship and a body of sacred learning and monastic institutions to preserve and transmit it. During worship in the Ethiopian Orthodox [Tewahedo] Church, the sounds, the music, the odors recall those described in the Old Testament accounts of the Jerusalem Temple. In an Ethiopian Orthodox church, I have half expected to see the Seraphim. In Ethiopia early Christianity appears very close. </w:t>
      </w:r>
    </w:p>
    <w:p w14:paraId="3B35A4A2" w14:textId="77777777" w:rsidR="008C0875" w:rsidRPr="008C0875" w:rsidRDefault="008C0875" w:rsidP="00094737">
      <w:pPr>
        <w:spacing w:after="0" w:line="240" w:lineRule="auto"/>
        <w:ind w:firstLine="432"/>
        <w:jc w:val="both"/>
        <w:rPr>
          <w:rFonts w:ascii="Perpetua" w:eastAsia="Calibri" w:hAnsi="Perpetua" w:cs="Times New Roman"/>
          <w:kern w:val="2"/>
          <w:sz w:val="20"/>
          <w:szCs w:val="20"/>
          <w14:ligatures w14:val="standardContextual"/>
        </w:rPr>
      </w:pPr>
      <w:r w:rsidRPr="008C0875">
        <w:rPr>
          <w:rFonts w:ascii="Perpetua" w:eastAsia="Calibri" w:hAnsi="Perpetua" w:cs="Times New Roman"/>
          <w:kern w:val="2"/>
          <w:sz w:val="20"/>
          <w:szCs w:val="20"/>
          <w14:ligatures w14:val="standardContextual"/>
        </w:rPr>
        <w:lastRenderedPageBreak/>
        <w:t xml:space="preserve">But, given all this, and given that most of us find our calling in other parts of Africa or indeed other parts of the world, does the existence of this ancient Christian history have any real significance for us today? Is it worth the while of modern African Christians to spend much time considering these early centuries? </w:t>
      </w:r>
    </w:p>
    <w:p w14:paraId="13F9ADCD" w14:textId="77777777" w:rsidR="008C0875" w:rsidRPr="008C0875" w:rsidRDefault="008C0875" w:rsidP="00094737">
      <w:pPr>
        <w:spacing w:after="0" w:line="240" w:lineRule="auto"/>
        <w:jc w:val="both"/>
        <w:rPr>
          <w:rFonts w:ascii="Perpetua" w:eastAsia="Calibri" w:hAnsi="Perpetua" w:cs="Times New Roman"/>
          <w:kern w:val="2"/>
          <w:sz w:val="20"/>
          <w:szCs w:val="20"/>
          <w14:ligatures w14:val="standardContextual"/>
        </w:rPr>
      </w:pPr>
    </w:p>
    <w:p w14:paraId="6C8D47DE" w14:textId="77777777" w:rsidR="008C0875" w:rsidRPr="008C0875" w:rsidRDefault="008C0875" w:rsidP="00094737">
      <w:pPr>
        <w:spacing w:after="0" w:line="240" w:lineRule="auto"/>
        <w:jc w:val="both"/>
        <w:rPr>
          <w:rFonts w:ascii="Perpetua" w:eastAsia="Calibri" w:hAnsi="Perpetua" w:cs="Times New Roman"/>
          <w:b/>
          <w:bCs/>
          <w:kern w:val="2"/>
          <w:sz w:val="20"/>
          <w:szCs w:val="20"/>
          <w14:ligatures w14:val="standardContextual"/>
        </w:rPr>
      </w:pPr>
      <w:r w:rsidRPr="008C0875">
        <w:rPr>
          <w:rFonts w:ascii="Perpetua" w:eastAsia="Calibri" w:hAnsi="Perpetua" w:cs="Times New Roman"/>
          <w:b/>
          <w:bCs/>
          <w:kern w:val="2"/>
          <w:sz w:val="20"/>
          <w:szCs w:val="20"/>
          <w14:ligatures w14:val="standardContextual"/>
        </w:rPr>
        <w:t>Why Early African Christianity Matters Today</w:t>
      </w:r>
    </w:p>
    <w:p w14:paraId="030B0AE9" w14:textId="77777777" w:rsidR="008C0875" w:rsidRPr="008C0875" w:rsidRDefault="008C0875" w:rsidP="00094737">
      <w:pPr>
        <w:spacing w:after="0" w:line="240" w:lineRule="auto"/>
        <w:jc w:val="both"/>
        <w:rPr>
          <w:rFonts w:ascii="Perpetua" w:eastAsia="Calibri" w:hAnsi="Perpetua" w:cs="Times New Roman"/>
          <w:kern w:val="2"/>
          <w:sz w:val="20"/>
          <w:szCs w:val="20"/>
          <w14:ligatures w14:val="standardContextual"/>
        </w:rPr>
      </w:pPr>
    </w:p>
    <w:p w14:paraId="59AE387A" w14:textId="77777777" w:rsidR="008C0875" w:rsidRPr="008C0875" w:rsidRDefault="008C0875" w:rsidP="00094737">
      <w:pPr>
        <w:spacing w:after="0" w:line="240" w:lineRule="auto"/>
        <w:jc w:val="both"/>
        <w:rPr>
          <w:rFonts w:ascii="Perpetua" w:eastAsia="Calibri" w:hAnsi="Perpetua" w:cs="Times New Roman"/>
          <w:kern w:val="2"/>
          <w:sz w:val="20"/>
          <w:szCs w:val="20"/>
          <w14:ligatures w14:val="standardContextual"/>
        </w:rPr>
      </w:pPr>
      <w:r w:rsidRPr="008C0875">
        <w:rPr>
          <w:rFonts w:ascii="Perpetua" w:eastAsia="Calibri" w:hAnsi="Perpetua" w:cs="Times New Roman"/>
          <w:kern w:val="2"/>
          <w:sz w:val="20"/>
          <w:szCs w:val="20"/>
          <w14:ligatures w14:val="standardContextual"/>
        </w:rPr>
        <w:t xml:space="preserve">I wish to suggest several reasons why it seems abundantly worthwhile. The first is that early African Christianity matters because it points to an Africa that was Christian not only before the White man came there, but before Islam came there or indeed had been established; an Africa that is historically Christian, whose Christian thinking was carried out and formulated long before the now existing nations of the West had come into being. </w:t>
      </w:r>
    </w:p>
    <w:p w14:paraId="0BB98421" w14:textId="77777777" w:rsidR="008C0875" w:rsidRPr="008C0875" w:rsidRDefault="008C0875" w:rsidP="00094737">
      <w:pPr>
        <w:spacing w:after="0" w:line="240" w:lineRule="auto"/>
        <w:ind w:firstLine="432"/>
        <w:jc w:val="both"/>
        <w:rPr>
          <w:rFonts w:ascii="Perpetua" w:eastAsia="Calibri" w:hAnsi="Perpetua" w:cs="Times New Roman"/>
          <w:kern w:val="2"/>
          <w:sz w:val="20"/>
          <w:szCs w:val="20"/>
          <w14:ligatures w14:val="standardContextual"/>
        </w:rPr>
      </w:pPr>
      <w:r w:rsidRPr="008C0875">
        <w:rPr>
          <w:rFonts w:ascii="Perpetua" w:eastAsia="Calibri" w:hAnsi="Perpetua" w:cs="Times New Roman"/>
          <w:kern w:val="2"/>
          <w:sz w:val="20"/>
          <w:szCs w:val="20"/>
          <w14:ligatures w14:val="standardContextual"/>
        </w:rPr>
        <w:t xml:space="preserve">In this connection, let us consider the particular significance of Ethiopia, which can claim a Christian history stretching back unbroken at least to the early fourth century. In Ethiopia, we see an Africa historically primordially Christian, defined in Christian terms with a religious history in which the currents that created Western Christianity as we now know it have played little or no part. It is striking how often African Christians of modern times have found inspiration from the Christian history of Ethiopia, especially at times when they have  found aspects of Western Christianity, or the behavior of Western Christians intrusive or oppressive. In the nineteenth century, when some African Christians found Western missionary dominance intrusive or offensive, they founded what they called Ethiopian Churches. Ethiopian Baptist Churches or Ethiopian Methodist Churches had no quarrel with Baptist or Methodist doctrine or polity as represented in mission practice; what they sought was freedom to express perceptions which they held to be both Christian and African; and Ethiopian churches and orders of Ethiopia sprang into being in many places. </w:t>
      </w:r>
    </w:p>
    <w:p w14:paraId="670EAE5E" w14:textId="77777777" w:rsidR="008C0875" w:rsidRPr="008C0875" w:rsidRDefault="008C0875" w:rsidP="00094737">
      <w:pPr>
        <w:spacing w:after="0" w:line="240" w:lineRule="auto"/>
        <w:ind w:firstLine="432"/>
        <w:jc w:val="both"/>
        <w:rPr>
          <w:rFonts w:ascii="Perpetua" w:eastAsia="Calibri" w:hAnsi="Perpetua" w:cs="Times New Roman"/>
          <w:kern w:val="2"/>
          <w:sz w:val="20"/>
          <w:szCs w:val="20"/>
          <w14:ligatures w14:val="standardContextual"/>
        </w:rPr>
      </w:pPr>
      <w:r w:rsidRPr="008C0875">
        <w:rPr>
          <w:rFonts w:ascii="Perpetua" w:eastAsia="Calibri" w:hAnsi="Perpetua" w:cs="Times New Roman"/>
          <w:kern w:val="2"/>
          <w:sz w:val="20"/>
          <w:szCs w:val="20"/>
          <w14:ligatures w14:val="standardContextual"/>
        </w:rPr>
        <w:t>When in the twentieth century Africans of the diaspora in the Americas burdened with the bitter historical and cultural legacy of slavery, oppression, discrimination, exploitation, and belittling, sought an expression of Christian faith that would truly reflect their dignity and identity, they seized on the name of Ras Tafari [Makonnen], Emperor [Haile Selassie I] of Ethiopia; one of the only two independent African nations then in existence, and one that had not been colonized, and one that reflected a Christian history that was both ancient and essentially African.</w:t>
      </w:r>
    </w:p>
    <w:p w14:paraId="394437D2" w14:textId="77777777" w:rsidR="008C0875" w:rsidRPr="008C0875" w:rsidRDefault="008C0875" w:rsidP="00094737">
      <w:pPr>
        <w:spacing w:after="0" w:line="240" w:lineRule="auto"/>
        <w:jc w:val="both"/>
        <w:rPr>
          <w:rFonts w:ascii="Perpetua" w:eastAsia="Calibri" w:hAnsi="Perpetua" w:cs="Times New Roman"/>
          <w:kern w:val="2"/>
          <w:sz w:val="20"/>
          <w:szCs w:val="20"/>
          <w14:ligatures w14:val="standardContextual"/>
        </w:rPr>
      </w:pPr>
    </w:p>
    <w:p w14:paraId="091E4DCE" w14:textId="77777777" w:rsidR="008C0875" w:rsidRPr="008C0875" w:rsidRDefault="008C0875" w:rsidP="00094737">
      <w:pPr>
        <w:spacing w:after="0" w:line="240" w:lineRule="auto"/>
        <w:jc w:val="both"/>
        <w:rPr>
          <w:rFonts w:ascii="Perpetua" w:eastAsia="Calibri" w:hAnsi="Perpetua" w:cs="Times New Roman"/>
          <w:i/>
          <w:iCs/>
          <w:kern w:val="2"/>
          <w:sz w:val="20"/>
          <w:szCs w:val="20"/>
          <w14:ligatures w14:val="standardContextual"/>
        </w:rPr>
      </w:pPr>
      <w:r w:rsidRPr="008C0875">
        <w:rPr>
          <w:rFonts w:ascii="Perpetua" w:eastAsia="Calibri" w:hAnsi="Perpetua" w:cs="Times New Roman"/>
          <w:i/>
          <w:iCs/>
          <w:kern w:val="2"/>
          <w:sz w:val="20"/>
          <w:szCs w:val="20"/>
          <w14:ligatures w14:val="standardContextual"/>
        </w:rPr>
        <w:t>Bible Translation and Biblical Scholarship</w:t>
      </w:r>
    </w:p>
    <w:p w14:paraId="6A9B9B7E" w14:textId="77777777" w:rsidR="008C0875" w:rsidRPr="008C0875" w:rsidRDefault="008C0875" w:rsidP="00094737">
      <w:pPr>
        <w:spacing w:after="0" w:line="240" w:lineRule="auto"/>
        <w:jc w:val="both"/>
        <w:rPr>
          <w:rFonts w:ascii="Perpetua" w:eastAsia="Calibri" w:hAnsi="Perpetua" w:cs="Times New Roman"/>
          <w:kern w:val="2"/>
          <w:sz w:val="20"/>
          <w:szCs w:val="20"/>
          <w14:ligatures w14:val="standardContextual"/>
        </w:rPr>
      </w:pPr>
    </w:p>
    <w:p w14:paraId="6EA931CC" w14:textId="77777777" w:rsidR="008C0875" w:rsidRPr="008C0875" w:rsidRDefault="008C0875" w:rsidP="00094737">
      <w:pPr>
        <w:spacing w:after="0" w:line="240" w:lineRule="auto"/>
        <w:jc w:val="both"/>
        <w:rPr>
          <w:rFonts w:ascii="Perpetua" w:eastAsia="Calibri" w:hAnsi="Perpetua" w:cs="Times New Roman"/>
          <w:kern w:val="2"/>
          <w:sz w:val="20"/>
          <w:szCs w:val="20"/>
          <w14:ligatures w14:val="standardContextual"/>
        </w:rPr>
      </w:pPr>
      <w:r w:rsidRPr="008C0875">
        <w:rPr>
          <w:rFonts w:ascii="Perpetua" w:eastAsia="Calibri" w:hAnsi="Perpetua" w:cs="Times New Roman"/>
          <w:kern w:val="2"/>
          <w:sz w:val="20"/>
          <w:szCs w:val="20"/>
          <w14:ligatures w14:val="standardContextual"/>
        </w:rPr>
        <w:t xml:space="preserve">Let's move to consider some particular aspects of Christian activity and where the experience of early African Christianity is worth studying. Africa has a special place in the early history of Bible translation. It was in Africa, in Alexandria in Egypt, that the most influential of all early Bible translations was made, initially among Alexandrian Jews beginning in the second century before the Christian era. This was, of course, the Septuagint translation of the Hebrew Old Testament into Greek; the Bible that Paul knew and the Apostolic Church used. The driving force for the translation lay in </w:t>
      </w:r>
      <w:r w:rsidRPr="008C0875">
        <w:rPr>
          <w:rFonts w:ascii="Perpetua" w:eastAsia="Calibri" w:hAnsi="Perpetua" w:cs="Times New Roman"/>
          <w:kern w:val="2"/>
          <w:sz w:val="20"/>
          <w:szCs w:val="20"/>
          <w14:ligatures w14:val="standardContextual"/>
        </w:rPr>
        <w:lastRenderedPageBreak/>
        <w:t>migration; Jews leaving Palestine and settling in the Greek speaking world, and while first generation migrants might continue to use Hebrew later generations, with less and less familiarity with the language needed to be able to read the Scriptures in Greek. But while the Septuagint seems to have had a missionary function for Jews it came to have a still greater one for Christians. The philosopher Justin is just one of the educated Greek speaking pagans who became captivated by the writings of the prophets as translated into Greek. Justin was led to Christ by his encountering the Septuagint translation of the prophets. Had he first met the New Testament writings, it is possible that he would not have been unduly impressed – philosophers like him engaged with the writers of centuries past, such as Plato, Aristotle, the Stoic pioneers. For them, the New Testament was a book from the day before yesterday, too recent to be worth closer study. But the prophets, and Justin found that Isaiah had lived before Plato, opened a new world for him. He comes to the Gospels by way of the prophets, and he was able to do this because of the translation into Greek had a century or two earlier been carried out in Egypt.</w:t>
      </w:r>
    </w:p>
    <w:p w14:paraId="6BE85711" w14:textId="77777777" w:rsidR="008C0875" w:rsidRPr="008C0875" w:rsidRDefault="008C0875" w:rsidP="00094737">
      <w:pPr>
        <w:spacing w:after="0" w:line="240" w:lineRule="auto"/>
        <w:ind w:firstLine="432"/>
        <w:jc w:val="both"/>
        <w:rPr>
          <w:rFonts w:ascii="Perpetua" w:eastAsia="Calibri" w:hAnsi="Perpetua" w:cs="Times New Roman"/>
          <w:kern w:val="2"/>
          <w:sz w:val="20"/>
          <w:szCs w:val="20"/>
          <w14:ligatures w14:val="standardContextual"/>
        </w:rPr>
      </w:pPr>
      <w:r w:rsidRPr="008C0875">
        <w:rPr>
          <w:rFonts w:ascii="Perpetua" w:eastAsia="Calibri" w:hAnsi="Perpetua" w:cs="Times New Roman"/>
          <w:kern w:val="2"/>
          <w:sz w:val="20"/>
          <w:szCs w:val="20"/>
          <w14:ligatures w14:val="standardContextual"/>
        </w:rPr>
        <w:t xml:space="preserve">Africa was also the source of some of the earliest translations of the New Testament scriptures that we know of. The two earliest that have survived come from different parts of Africa and we know them to have been particularly influential. The first of these is the translation into the Sahidic dialect of Coptic, a language deriving from ancient Egyptian and spoken across upper Egypt, an area where Christianity early flourished and spread into rural as well as urban areas. We will see it becoming a center of Christian revival, stimulated by the reading and hearing of the Scriptures in Sahidic. </w:t>
      </w:r>
    </w:p>
    <w:p w14:paraId="4B612009" w14:textId="77777777" w:rsidR="008C0875" w:rsidRPr="008C0875" w:rsidRDefault="008C0875" w:rsidP="00094737">
      <w:pPr>
        <w:spacing w:after="0" w:line="240" w:lineRule="auto"/>
        <w:ind w:firstLine="432"/>
        <w:jc w:val="both"/>
        <w:rPr>
          <w:rFonts w:ascii="Perpetua" w:eastAsia="Calibri" w:hAnsi="Perpetua" w:cs="Times New Roman"/>
          <w:kern w:val="2"/>
          <w:sz w:val="20"/>
          <w:szCs w:val="20"/>
          <w14:ligatures w14:val="standardContextual"/>
        </w:rPr>
      </w:pPr>
      <w:r w:rsidRPr="008C0875">
        <w:rPr>
          <w:rFonts w:ascii="Perpetua" w:eastAsia="Calibri" w:hAnsi="Perpetua" w:cs="Times New Roman"/>
          <w:kern w:val="2"/>
          <w:sz w:val="20"/>
          <w:szCs w:val="20"/>
          <w14:ligatures w14:val="standardContextual"/>
        </w:rPr>
        <w:t>The second translation, especially even influential, was into African Latin. Among the languages spoken across North Africa in what we now call Tunisia and Algeria, Latin had a degree of primacy. It was, of course, spoken in other parts of the world and other Latin versions of Scripture appeared in Italy and elsewhere; but African Latin came to have a huge importance since it so deeply penetrated the minds of three African thinkers: Tertullian, Cyprian, Augustine who between them were to have an immense effect on the development of Christian theology and their work made possible by the African Latin translation.</w:t>
      </w:r>
    </w:p>
    <w:p w14:paraId="6816D2A8" w14:textId="77777777" w:rsidR="008C0875" w:rsidRPr="008C0875" w:rsidRDefault="008C0875" w:rsidP="00094737">
      <w:pPr>
        <w:spacing w:after="0" w:line="240" w:lineRule="auto"/>
        <w:ind w:firstLine="432"/>
        <w:jc w:val="both"/>
        <w:rPr>
          <w:rFonts w:ascii="Perpetua" w:eastAsia="Calibri" w:hAnsi="Perpetua" w:cs="Times New Roman"/>
          <w:kern w:val="2"/>
          <w:sz w:val="20"/>
          <w:szCs w:val="20"/>
          <w14:ligatures w14:val="standardContextual"/>
        </w:rPr>
      </w:pPr>
      <w:r w:rsidRPr="008C0875">
        <w:rPr>
          <w:rFonts w:ascii="Perpetua" w:eastAsia="Calibri" w:hAnsi="Perpetua" w:cs="Times New Roman"/>
          <w:kern w:val="2"/>
          <w:sz w:val="20"/>
          <w:szCs w:val="20"/>
          <w14:ligatures w14:val="standardContextual"/>
        </w:rPr>
        <w:t xml:space="preserve">We have spoken so far only of translations in Egypt and North Africa. There were many others as Christianity spread to the Nile Valley and into Nubia and in what is now the Sudan Republic, and as it emerged in Axum in Tigray and moved to the Ethiopian High Plateau. </w:t>
      </w:r>
    </w:p>
    <w:p w14:paraId="4E9C6B9E" w14:textId="77777777" w:rsidR="008C0875" w:rsidRPr="008C0875" w:rsidRDefault="008C0875" w:rsidP="00094737">
      <w:pPr>
        <w:spacing w:after="0" w:line="240" w:lineRule="auto"/>
        <w:jc w:val="both"/>
        <w:rPr>
          <w:rFonts w:ascii="Perpetua" w:eastAsia="Calibri" w:hAnsi="Perpetua" w:cs="Times New Roman"/>
          <w:kern w:val="2"/>
          <w:sz w:val="20"/>
          <w:szCs w:val="20"/>
          <w14:ligatures w14:val="standardContextual"/>
        </w:rPr>
      </w:pPr>
      <w:r w:rsidRPr="008C0875">
        <w:rPr>
          <w:rFonts w:ascii="Perpetua" w:eastAsia="Calibri" w:hAnsi="Perpetua" w:cs="Times New Roman"/>
          <w:kern w:val="2"/>
          <w:sz w:val="20"/>
          <w:szCs w:val="20"/>
          <w14:ligatures w14:val="standardContextual"/>
        </w:rPr>
        <w:tab/>
        <w:t xml:space="preserve">But the history of language is not static. With hindsight, we can now identify an African language that does not seem to have received an early translation. A failure, which may have had severe consequences all the time. </w:t>
      </w:r>
    </w:p>
    <w:p w14:paraId="61D97E83" w14:textId="77777777" w:rsidR="008C0875" w:rsidRPr="008C0875" w:rsidRDefault="008C0875" w:rsidP="00094737">
      <w:pPr>
        <w:spacing w:after="0" w:line="240" w:lineRule="auto"/>
        <w:ind w:firstLine="432"/>
        <w:jc w:val="both"/>
        <w:rPr>
          <w:rFonts w:ascii="Perpetua" w:eastAsia="Calibri" w:hAnsi="Perpetua" w:cs="Times New Roman"/>
          <w:kern w:val="2"/>
          <w:sz w:val="20"/>
          <w:szCs w:val="20"/>
          <w14:ligatures w14:val="standardContextual"/>
        </w:rPr>
      </w:pPr>
      <w:r w:rsidRPr="008C0875">
        <w:rPr>
          <w:rFonts w:ascii="Perpetua" w:eastAsia="Calibri" w:hAnsi="Perpetua" w:cs="Times New Roman"/>
          <w:kern w:val="2"/>
          <w:sz w:val="20"/>
          <w:szCs w:val="20"/>
          <w14:ligatures w14:val="standardContextual"/>
        </w:rPr>
        <w:t xml:space="preserve">We have seen that Latin was indeed an African language in the early Christian centuries. It was the official language in North Africa and widely spoken there, but much of the population was ethnically Berber, and Berber is a language in its own right. We know that there were many Berber Christians, as the archeologically based work of the late William [H. C.] Frend has shown; but, so far as can be discovered now, no Berber translation of the Scriptures was ever made. Times change; for several centuries Latin was the language of the North African Church, which was using Latin at a time </w:t>
      </w:r>
      <w:r w:rsidRPr="008C0875">
        <w:rPr>
          <w:rFonts w:ascii="Perpetua" w:eastAsia="Calibri" w:hAnsi="Perpetua" w:cs="Times New Roman"/>
          <w:kern w:val="2"/>
          <w:sz w:val="20"/>
          <w:szCs w:val="20"/>
          <w14:ligatures w14:val="standardContextual"/>
        </w:rPr>
        <w:lastRenderedPageBreak/>
        <w:t xml:space="preserve">when the church in Rome was using Greek. (The first bishop of Rome to introduce Latin, as far as we can see, was Victor, who was an African by birth.) But the time came when Latin disappeared in North Africa to be replaced by Arabic, and the Berber are still there, and very few of them are now Christians. </w:t>
      </w:r>
    </w:p>
    <w:p w14:paraId="6FD759EE" w14:textId="77777777" w:rsidR="008C0875" w:rsidRPr="008C0875" w:rsidRDefault="008C0875" w:rsidP="00094737">
      <w:pPr>
        <w:spacing w:after="0" w:line="240" w:lineRule="auto"/>
        <w:jc w:val="both"/>
        <w:rPr>
          <w:rFonts w:ascii="Perpetua" w:eastAsia="Calibri" w:hAnsi="Perpetua" w:cs="Times New Roman"/>
          <w:kern w:val="2"/>
          <w:sz w:val="20"/>
          <w:szCs w:val="20"/>
          <w14:ligatures w14:val="standardContextual"/>
        </w:rPr>
      </w:pPr>
    </w:p>
    <w:p w14:paraId="33A1E058" w14:textId="77777777" w:rsidR="008C0875" w:rsidRPr="008C0875" w:rsidRDefault="008C0875" w:rsidP="00094737">
      <w:pPr>
        <w:spacing w:after="0" w:line="240" w:lineRule="auto"/>
        <w:ind w:firstLine="432"/>
        <w:jc w:val="both"/>
        <w:rPr>
          <w:rFonts w:ascii="Perpetua" w:eastAsia="Calibri" w:hAnsi="Perpetua" w:cs="Times New Roman"/>
          <w:kern w:val="2"/>
          <w:sz w:val="20"/>
          <w:szCs w:val="20"/>
          <w14:ligatures w14:val="standardContextual"/>
        </w:rPr>
      </w:pPr>
      <w:r w:rsidRPr="008C0875">
        <w:rPr>
          <w:rFonts w:ascii="Perpetua" w:eastAsia="Calibri" w:hAnsi="Perpetua" w:cs="Times New Roman"/>
          <w:kern w:val="2"/>
          <w:sz w:val="20"/>
          <w:szCs w:val="20"/>
          <w14:ligatures w14:val="standardContextual"/>
        </w:rPr>
        <w:t>For the time that remains, I would like to point to a number of aspects of the life of the Church that the experience of Early African Christianity may be worth reflection on today. In doing so, I am taking for granted the demonstration that Thomas [C.] Oden has already made concerning the theological legacy of Early African Christianity, and especially of the insights which derive from its long and often agonizing debates on the Doctrines of the Trinity and Incarnation. Those debates arose from issues that go to the heart of Christian faith. The relation between two statements: first, that there is one God; and second that the proper response to Jesus the Christ is “my Lord and my God” [cf. John 20:28]. The popular religion of the Hellenistic world where Christianity grew up had plenty of stories about divine beings begetting children by human mothers, but one cannot understand the Christ of the Scriptures in terms of half gods like Hercules. Christians had to dig deeper and the theology of Godhead, which emerged in early Christian centuries with Africa as its first major battleground and African theologians to the fore remains, as Oden showed, foundational for Christian thinking. In accepting this, I point to some other areas of early African Christianity which may have relevance today.</w:t>
      </w:r>
    </w:p>
    <w:p w14:paraId="64286490" w14:textId="77777777" w:rsidR="008C0875" w:rsidRPr="008C0875" w:rsidRDefault="008C0875" w:rsidP="00094737">
      <w:pPr>
        <w:spacing w:after="0" w:line="240" w:lineRule="auto"/>
        <w:jc w:val="both"/>
        <w:rPr>
          <w:rFonts w:ascii="Perpetua" w:eastAsia="Calibri" w:hAnsi="Perpetua" w:cs="Times New Roman"/>
          <w:kern w:val="2"/>
          <w:sz w:val="20"/>
          <w:szCs w:val="20"/>
          <w14:ligatures w14:val="standardContextual"/>
        </w:rPr>
      </w:pPr>
    </w:p>
    <w:p w14:paraId="7CA6C4EC" w14:textId="77777777" w:rsidR="008C0875" w:rsidRPr="008C0875" w:rsidRDefault="008C0875" w:rsidP="00094737">
      <w:pPr>
        <w:spacing w:after="0" w:line="240" w:lineRule="auto"/>
        <w:jc w:val="both"/>
        <w:rPr>
          <w:rFonts w:ascii="Perpetua" w:eastAsia="Calibri" w:hAnsi="Perpetua" w:cs="Times New Roman"/>
          <w:i/>
          <w:iCs/>
          <w:kern w:val="2"/>
          <w:sz w:val="20"/>
          <w:szCs w:val="20"/>
          <w14:ligatures w14:val="standardContextual"/>
        </w:rPr>
      </w:pPr>
      <w:r w:rsidRPr="008C0875">
        <w:rPr>
          <w:rFonts w:ascii="Perpetua" w:eastAsia="Calibri" w:hAnsi="Perpetua" w:cs="Times New Roman"/>
          <w:i/>
          <w:iCs/>
          <w:kern w:val="2"/>
          <w:sz w:val="20"/>
          <w:szCs w:val="20"/>
          <w14:ligatures w14:val="standardContextual"/>
        </w:rPr>
        <w:t>Rural Christianity</w:t>
      </w:r>
    </w:p>
    <w:p w14:paraId="24DD7F0F" w14:textId="77777777" w:rsidR="008C0875" w:rsidRPr="008C0875" w:rsidRDefault="008C0875" w:rsidP="00094737">
      <w:pPr>
        <w:spacing w:after="0" w:line="240" w:lineRule="auto"/>
        <w:jc w:val="both"/>
        <w:rPr>
          <w:rFonts w:ascii="Perpetua" w:eastAsia="Calibri" w:hAnsi="Perpetua" w:cs="Times New Roman"/>
          <w:kern w:val="2"/>
          <w:sz w:val="20"/>
          <w:szCs w:val="20"/>
          <w14:ligatures w14:val="standardContextual"/>
        </w:rPr>
      </w:pPr>
    </w:p>
    <w:p w14:paraId="60601686" w14:textId="77777777" w:rsidR="008C0875" w:rsidRPr="008C0875" w:rsidRDefault="008C0875" w:rsidP="00094737">
      <w:pPr>
        <w:spacing w:after="0" w:line="240" w:lineRule="auto"/>
        <w:jc w:val="both"/>
        <w:rPr>
          <w:rFonts w:ascii="Perpetua" w:eastAsia="Calibri" w:hAnsi="Perpetua" w:cs="Times New Roman"/>
          <w:kern w:val="2"/>
          <w:sz w:val="20"/>
          <w:szCs w:val="20"/>
          <w14:ligatures w14:val="standardContextual"/>
        </w:rPr>
      </w:pPr>
      <w:r w:rsidRPr="008C0875">
        <w:rPr>
          <w:rFonts w:ascii="Perpetua" w:eastAsia="Calibri" w:hAnsi="Perpetua" w:cs="Times New Roman"/>
          <w:kern w:val="2"/>
          <w:sz w:val="20"/>
          <w:szCs w:val="20"/>
          <w14:ligatures w14:val="standardContextual"/>
        </w:rPr>
        <w:t xml:space="preserve">Let us reflect that African Christianity is one of the first areas in which we encounter rural Christianity. The picture we get from the Acts of the Apostles of Paul's missions is that they are essentially urban directed; the communities of Christians that we meet in his letters and for that matter the letters to the churches in the Book of Revelation is that these are city dwellers. Early African Christianity had its cities too. Alexandria and Carthage are clearly crucial to the Christian story. But early African Christianity has another story too. The Lower Nile area and the life of Antony. May we just think of that story for a moment.  </w:t>
      </w:r>
    </w:p>
    <w:p w14:paraId="614CF5BC" w14:textId="77777777" w:rsidR="008C0875" w:rsidRPr="008C0875" w:rsidRDefault="008C0875" w:rsidP="00094737">
      <w:pPr>
        <w:spacing w:after="0" w:line="240" w:lineRule="auto"/>
        <w:ind w:firstLine="432"/>
        <w:jc w:val="both"/>
        <w:rPr>
          <w:rFonts w:ascii="Perpetua" w:eastAsia="Calibri" w:hAnsi="Perpetua" w:cs="Times New Roman"/>
          <w:kern w:val="2"/>
          <w:sz w:val="20"/>
          <w:szCs w:val="20"/>
          <w14:ligatures w14:val="standardContextual"/>
        </w:rPr>
      </w:pPr>
      <w:r w:rsidRPr="008C0875">
        <w:rPr>
          <w:rFonts w:ascii="Perpetua" w:eastAsia="Calibri" w:hAnsi="Perpetua" w:cs="Times New Roman"/>
          <w:kern w:val="2"/>
          <w:sz w:val="20"/>
          <w:szCs w:val="20"/>
          <w14:ligatures w14:val="standardContextual"/>
        </w:rPr>
        <w:t xml:space="preserve">One of the striking aspects of Antony’s story to me is the fact that though he grew up in an age of persecution – he was born in about 250 A.D. – the community to which he belonged seems to have been substantially Christian. It even seemed to have a church building; when Antony is brought there by a friend, battered and lacerated after his conflict with the devil the whole community comes to the church and stays until everyone falls asleep. On his rare visits to Alexandria, Antony encouraged those on their way to martyrdom, but the long arm of the Roman state does not seem to have stretch to his home community. He came from a relatively prosperous land owning family, but he never learned Greek, never participated in urban culture. People who visited him from the Greek world after he had become famous needed to have an interpreter. </w:t>
      </w:r>
    </w:p>
    <w:p w14:paraId="607C0C14" w14:textId="77777777" w:rsidR="008C0875" w:rsidRPr="008C0875" w:rsidRDefault="008C0875" w:rsidP="00094737">
      <w:pPr>
        <w:spacing w:after="0" w:line="240" w:lineRule="auto"/>
        <w:ind w:firstLine="432"/>
        <w:jc w:val="both"/>
        <w:rPr>
          <w:rFonts w:ascii="Perpetua" w:eastAsia="Calibri" w:hAnsi="Perpetua" w:cs="Times New Roman"/>
          <w:kern w:val="2"/>
          <w:sz w:val="20"/>
          <w:szCs w:val="20"/>
          <w14:ligatures w14:val="standardContextual"/>
        </w:rPr>
      </w:pPr>
      <w:r w:rsidRPr="008C0875">
        <w:rPr>
          <w:rFonts w:ascii="Perpetua" w:eastAsia="Calibri" w:hAnsi="Perpetua" w:cs="Times New Roman"/>
          <w:kern w:val="2"/>
          <w:sz w:val="20"/>
          <w:szCs w:val="20"/>
          <w14:ligatures w14:val="standardContextual"/>
        </w:rPr>
        <w:lastRenderedPageBreak/>
        <w:t xml:space="preserve">The earliest writings that have survived is his language, Coptic, are spells and charms to drive away evil forces; the second oldest writing is the New Testament scriptures in their Sahidic translation. </w:t>
      </w:r>
    </w:p>
    <w:p w14:paraId="11E852DB" w14:textId="77777777" w:rsidR="008C0875" w:rsidRPr="008C0875" w:rsidRDefault="008C0875" w:rsidP="00094737">
      <w:pPr>
        <w:spacing w:after="0" w:line="240" w:lineRule="auto"/>
        <w:ind w:firstLine="432"/>
        <w:jc w:val="both"/>
        <w:rPr>
          <w:rFonts w:ascii="Perpetua" w:eastAsia="Calibri" w:hAnsi="Perpetua" w:cs="Times New Roman"/>
          <w:kern w:val="2"/>
          <w:sz w:val="20"/>
          <w:szCs w:val="20"/>
          <w14:ligatures w14:val="standardContextual"/>
        </w:rPr>
      </w:pPr>
      <w:r w:rsidRPr="008C0875">
        <w:rPr>
          <w:rFonts w:ascii="Perpetua" w:eastAsia="Calibri" w:hAnsi="Perpetua" w:cs="Times New Roman"/>
          <w:kern w:val="2"/>
          <w:sz w:val="20"/>
          <w:szCs w:val="20"/>
          <w14:ligatures w14:val="standardContextual"/>
        </w:rPr>
        <w:t xml:space="preserve">For all the importance of the rapid urbanization of Africa today, rural Christianity, with village life at its heart, is still vitally important for Africa. And the story of rural Christianity in the Nile Valley may still have relevance. </w:t>
      </w:r>
    </w:p>
    <w:p w14:paraId="18BF4B24" w14:textId="77777777" w:rsidR="008C0875" w:rsidRPr="008C0875" w:rsidRDefault="008C0875" w:rsidP="00094737">
      <w:pPr>
        <w:spacing w:after="0" w:line="240" w:lineRule="auto"/>
        <w:jc w:val="both"/>
        <w:rPr>
          <w:rFonts w:ascii="Perpetua" w:eastAsia="Calibri" w:hAnsi="Perpetua" w:cs="Times New Roman"/>
          <w:kern w:val="2"/>
          <w:sz w:val="20"/>
          <w:szCs w:val="20"/>
          <w14:ligatures w14:val="standardContextual"/>
        </w:rPr>
      </w:pPr>
    </w:p>
    <w:p w14:paraId="3FCCBDA0" w14:textId="77777777" w:rsidR="008C0875" w:rsidRPr="008C0875" w:rsidRDefault="008C0875" w:rsidP="00094737">
      <w:pPr>
        <w:spacing w:after="0" w:line="240" w:lineRule="auto"/>
        <w:jc w:val="both"/>
        <w:rPr>
          <w:rFonts w:ascii="Perpetua" w:eastAsia="Calibri" w:hAnsi="Perpetua" w:cs="Times New Roman"/>
          <w:i/>
          <w:iCs/>
          <w:kern w:val="2"/>
          <w:sz w:val="20"/>
          <w:szCs w:val="20"/>
          <w14:ligatures w14:val="standardContextual"/>
        </w:rPr>
      </w:pPr>
      <w:r w:rsidRPr="008C0875">
        <w:rPr>
          <w:rFonts w:ascii="Perpetua" w:eastAsia="Calibri" w:hAnsi="Perpetua" w:cs="Times New Roman"/>
          <w:i/>
          <w:iCs/>
          <w:kern w:val="2"/>
          <w:sz w:val="20"/>
          <w:szCs w:val="20"/>
          <w14:ligatures w14:val="standardContextual"/>
        </w:rPr>
        <w:t>Monastic Movements</w:t>
      </w:r>
    </w:p>
    <w:p w14:paraId="2C93844F" w14:textId="77777777" w:rsidR="008C0875" w:rsidRPr="008C0875" w:rsidRDefault="008C0875" w:rsidP="00094737">
      <w:pPr>
        <w:spacing w:after="0" w:line="240" w:lineRule="auto"/>
        <w:jc w:val="both"/>
        <w:rPr>
          <w:rFonts w:ascii="Perpetua" w:eastAsia="Calibri" w:hAnsi="Perpetua" w:cs="Times New Roman"/>
          <w:kern w:val="2"/>
          <w:sz w:val="20"/>
          <w:szCs w:val="20"/>
          <w14:ligatures w14:val="standardContextual"/>
        </w:rPr>
      </w:pPr>
    </w:p>
    <w:p w14:paraId="324794BB" w14:textId="77777777" w:rsidR="008C0875" w:rsidRPr="008C0875" w:rsidRDefault="008C0875" w:rsidP="00094737">
      <w:pPr>
        <w:spacing w:after="0" w:line="240" w:lineRule="auto"/>
        <w:jc w:val="both"/>
        <w:rPr>
          <w:rFonts w:ascii="Perpetua" w:eastAsia="Calibri" w:hAnsi="Perpetua" w:cs="Times New Roman"/>
          <w:kern w:val="2"/>
          <w:sz w:val="20"/>
          <w:szCs w:val="20"/>
          <w14:ligatures w14:val="standardContextual"/>
        </w:rPr>
      </w:pPr>
      <w:r w:rsidRPr="008C0875">
        <w:rPr>
          <w:rFonts w:ascii="Perpetua" w:eastAsia="Calibri" w:hAnsi="Perpetua" w:cs="Times New Roman"/>
          <w:kern w:val="2"/>
          <w:sz w:val="20"/>
          <w:szCs w:val="20"/>
          <w14:ligatures w14:val="standardContextual"/>
        </w:rPr>
        <w:t xml:space="preserve">The story of Antony has significance in other respects too. Antony represents one of the first expressions movements of Christian renewal and revival. Antony belongs, as we have seen, to a settled Christian community with its own local organization (it has not only a building used for worship, but a body of women devoted to good works). Antony is a young man, well-endowed in local terms in relation to the property his family owned. He hears rather than reads the New Testament in his mother tongue as it is read in the service. He hears the words that Jesus spoke to a would-be disciple, “sell all that you have and give to the poor” [cf. Matthew 19: 21]. The command is clear and Antony follows it literally, for he wants to be a disciple of Jesus. Then he hears Jesus say, in the Sahidic Gospel, “be perfect as your Father in heaven is perfect” [cf. Matthew 5:48]. That message seizes him; he wants to be not just a disciple of Jesus, but a perfect disciple. It sends him on a path which leads to a movement among other Christian young men, to seek complete devotion to Christ. Antony is not converted from paganism. His family was already Christian. The temptations that he received as described in his life contain no temptation to apostasy. Antony is converted from ordinary Christianity and those who followed his example were seeking radical renewal. They did not all follow the same path. Antony valued solitude. Though he also recognized the usefulness of consideration of Scripture with others and mutual encouragement. Pachomius [d. AD 348] from a similar background who had been a soldier, believed in organizing a community of radical Christians and his work marks the beginning of the monastic movement, which was to have a huge effect throughout the church as an evangelistic and missionary organization and one that provided Christian hospitality, care for the poor and sick, education and Christian scholarship. It is a long and complex history, but in origin it was a radical movement of Christian renewal, and it began in Africa. </w:t>
      </w:r>
    </w:p>
    <w:p w14:paraId="7F218F17" w14:textId="77777777" w:rsidR="008C0875" w:rsidRPr="008C0875" w:rsidRDefault="008C0875" w:rsidP="00094737">
      <w:pPr>
        <w:spacing w:after="0" w:line="240" w:lineRule="auto"/>
        <w:jc w:val="both"/>
        <w:rPr>
          <w:rFonts w:ascii="Perpetua" w:eastAsia="Calibri" w:hAnsi="Perpetua" w:cs="Times New Roman"/>
          <w:kern w:val="2"/>
          <w:sz w:val="20"/>
          <w:szCs w:val="20"/>
          <w14:ligatures w14:val="standardContextual"/>
        </w:rPr>
      </w:pPr>
    </w:p>
    <w:p w14:paraId="457B584C" w14:textId="77777777" w:rsidR="008C0875" w:rsidRPr="008C0875" w:rsidRDefault="008C0875" w:rsidP="00094737">
      <w:pPr>
        <w:spacing w:after="0" w:line="240" w:lineRule="auto"/>
        <w:jc w:val="both"/>
        <w:rPr>
          <w:rFonts w:ascii="Perpetua" w:eastAsia="Calibri" w:hAnsi="Perpetua" w:cs="Times New Roman"/>
          <w:i/>
          <w:iCs/>
          <w:kern w:val="2"/>
          <w:sz w:val="20"/>
          <w:szCs w:val="20"/>
          <w14:ligatures w14:val="standardContextual"/>
        </w:rPr>
      </w:pPr>
      <w:r w:rsidRPr="008C0875">
        <w:rPr>
          <w:rFonts w:ascii="Perpetua" w:eastAsia="Calibri" w:hAnsi="Perpetua" w:cs="Times New Roman"/>
          <w:i/>
          <w:iCs/>
          <w:kern w:val="2"/>
          <w:sz w:val="20"/>
          <w:szCs w:val="20"/>
          <w14:ligatures w14:val="standardContextual"/>
        </w:rPr>
        <w:t>Theology of the Powers</w:t>
      </w:r>
    </w:p>
    <w:p w14:paraId="27F727AA" w14:textId="77777777" w:rsidR="008C0875" w:rsidRPr="008C0875" w:rsidRDefault="008C0875" w:rsidP="00094737">
      <w:pPr>
        <w:spacing w:after="0" w:line="240" w:lineRule="auto"/>
        <w:jc w:val="both"/>
        <w:rPr>
          <w:rFonts w:ascii="Perpetua" w:eastAsia="Calibri" w:hAnsi="Perpetua" w:cs="Times New Roman"/>
          <w:kern w:val="2"/>
          <w:sz w:val="20"/>
          <w:szCs w:val="20"/>
          <w14:ligatures w14:val="standardContextual"/>
        </w:rPr>
      </w:pPr>
    </w:p>
    <w:p w14:paraId="4FB9663F" w14:textId="77777777" w:rsidR="008C0875" w:rsidRPr="008C0875" w:rsidRDefault="008C0875" w:rsidP="00094737">
      <w:pPr>
        <w:spacing w:after="0" w:line="240" w:lineRule="auto"/>
        <w:jc w:val="both"/>
        <w:rPr>
          <w:rFonts w:ascii="Perpetua" w:eastAsia="Calibri" w:hAnsi="Perpetua" w:cs="Times New Roman"/>
          <w:kern w:val="2"/>
          <w:sz w:val="20"/>
          <w:szCs w:val="20"/>
          <w14:ligatures w14:val="standardContextual"/>
        </w:rPr>
      </w:pPr>
      <w:r w:rsidRPr="008C0875">
        <w:rPr>
          <w:rFonts w:ascii="Perpetua" w:eastAsia="Calibri" w:hAnsi="Perpetua" w:cs="Times New Roman"/>
          <w:kern w:val="2"/>
          <w:sz w:val="20"/>
          <w:szCs w:val="20"/>
          <w14:ligatures w14:val="standardContextual"/>
        </w:rPr>
        <w:t xml:space="preserve">The story of Antony reminds us also that early African Christianity took spiritual powers seriously. We have noted that the earliest Coptic writings are spells and charms for driving off evil spirits. In Christian times these writings of this sort did not survive; but Antony in his search for perfect discipleship has a very strong sense of the reality of the demonic. He undergoes much spiritual conflict. Antony fights with the devil; when he moves to the desert, and makes his home in the abandoned graveyard of a deserted village, he is not seeking to escape the world; he is consciously choosing to challenge </w:t>
      </w:r>
      <w:r w:rsidRPr="008C0875">
        <w:rPr>
          <w:rFonts w:ascii="Perpetua" w:eastAsia="Calibri" w:hAnsi="Perpetua" w:cs="Times New Roman"/>
          <w:kern w:val="2"/>
          <w:sz w:val="20"/>
          <w:szCs w:val="20"/>
          <w14:ligatures w14:val="standardContextual"/>
        </w:rPr>
        <w:lastRenderedPageBreak/>
        <w:t xml:space="preserve">the devil on his own territory. The story of that combat is a special feature in Antony’s biography; the establishment of Christian worship in what was once the devil's own country is the sign of God's victory through Antony’s work. </w:t>
      </w:r>
    </w:p>
    <w:p w14:paraId="16944F4A" w14:textId="77777777" w:rsidR="008C0875" w:rsidRPr="008C0875" w:rsidRDefault="008C0875" w:rsidP="00094737">
      <w:pPr>
        <w:spacing w:after="0" w:line="240" w:lineRule="auto"/>
        <w:ind w:firstLine="432"/>
        <w:jc w:val="both"/>
        <w:rPr>
          <w:rFonts w:ascii="Perpetua" w:eastAsia="Calibri" w:hAnsi="Perpetua" w:cs="Times New Roman"/>
          <w:kern w:val="2"/>
          <w:sz w:val="20"/>
          <w:szCs w:val="20"/>
          <w14:ligatures w14:val="standardContextual"/>
        </w:rPr>
      </w:pPr>
      <w:r w:rsidRPr="008C0875">
        <w:rPr>
          <w:rFonts w:ascii="Perpetua" w:eastAsia="Calibri" w:hAnsi="Perpetua" w:cs="Times New Roman"/>
          <w:kern w:val="2"/>
          <w:sz w:val="20"/>
          <w:szCs w:val="20"/>
          <w14:ligatures w14:val="standardContextual"/>
        </w:rPr>
        <w:t xml:space="preserve">Early African Christianity had thus an awareness of the powers of evil and the costs of conflict with them and of the resources that God supplies for overcoming them. </w:t>
      </w:r>
    </w:p>
    <w:p w14:paraId="52B27989" w14:textId="77777777" w:rsidR="008C0875" w:rsidRPr="008C0875" w:rsidRDefault="008C0875" w:rsidP="00094737">
      <w:pPr>
        <w:spacing w:after="0" w:line="240" w:lineRule="auto"/>
        <w:jc w:val="both"/>
        <w:rPr>
          <w:rFonts w:ascii="Perpetua" w:eastAsia="Calibri" w:hAnsi="Perpetua" w:cs="Times New Roman"/>
          <w:kern w:val="2"/>
          <w:sz w:val="20"/>
          <w:szCs w:val="20"/>
          <w14:ligatures w14:val="standardContextual"/>
        </w:rPr>
      </w:pPr>
    </w:p>
    <w:p w14:paraId="23ED6AB1" w14:textId="378E0265" w:rsidR="008C0875" w:rsidRPr="008C0875" w:rsidRDefault="002E5E6E" w:rsidP="00094737">
      <w:pPr>
        <w:spacing w:after="0" w:line="240" w:lineRule="auto"/>
        <w:jc w:val="both"/>
        <w:rPr>
          <w:rFonts w:ascii="Perpetua" w:eastAsia="Calibri" w:hAnsi="Perpetua" w:cs="Times New Roman"/>
          <w:kern w:val="2"/>
          <w:sz w:val="20"/>
          <w:szCs w:val="20"/>
          <w14:ligatures w14:val="standardContextual"/>
        </w:rPr>
      </w:pPr>
      <w:r>
        <w:rPr>
          <w:rFonts w:ascii="Perpetua" w:eastAsia="Calibri" w:hAnsi="Perpetua" w:cs="Times New Roman"/>
          <w:kern w:val="2"/>
          <w:sz w:val="20"/>
          <w:szCs w:val="20"/>
          <w14:ligatures w14:val="standardContextual"/>
        </w:rPr>
        <w:t>With m</w:t>
      </w:r>
      <w:r w:rsidR="008C0875" w:rsidRPr="008C0875">
        <w:rPr>
          <w:rFonts w:ascii="Perpetua" w:eastAsia="Calibri" w:hAnsi="Perpetua" w:cs="Times New Roman"/>
          <w:kern w:val="2"/>
          <w:sz w:val="20"/>
          <w:szCs w:val="20"/>
          <w14:ligatures w14:val="standardContextual"/>
        </w:rPr>
        <w:t xml:space="preserve">odern enlightenment, Christianity has, generally speaking, lost those concerns. But a huge part of the contemporary Christian world does not operate in an Enlightenment universe with a closed frontier between the empirical world of the things we can see and touch and the transcendent world of spirit. They live with an open frontier between those worlds, constantly crossed in both directions. That many New Testament Christians lived in just such a world is evident from Paul's letters. But we have currently no coherent operating theology of the powers. Western theology is disabled from supplying it; African theologians may have a special vocation for its modern development. </w:t>
      </w:r>
    </w:p>
    <w:p w14:paraId="6622CDAF" w14:textId="77777777" w:rsidR="008C0875" w:rsidRPr="008C0875" w:rsidRDefault="008C0875" w:rsidP="00094737">
      <w:pPr>
        <w:spacing w:after="0" w:line="240" w:lineRule="auto"/>
        <w:ind w:firstLine="432"/>
        <w:jc w:val="both"/>
        <w:rPr>
          <w:rFonts w:ascii="Perpetua" w:eastAsia="Calibri" w:hAnsi="Perpetua" w:cs="Times New Roman"/>
          <w:kern w:val="2"/>
          <w:sz w:val="20"/>
          <w:szCs w:val="20"/>
          <w14:ligatures w14:val="standardContextual"/>
        </w:rPr>
      </w:pPr>
      <w:r w:rsidRPr="008C0875">
        <w:rPr>
          <w:rFonts w:ascii="Perpetua" w:eastAsia="Calibri" w:hAnsi="Perpetua" w:cs="Times New Roman"/>
          <w:kern w:val="2"/>
          <w:sz w:val="20"/>
          <w:szCs w:val="20"/>
          <w14:ligatures w14:val="standardContextual"/>
        </w:rPr>
        <w:t xml:space="preserve">The lively sense of the powers displayed in some aspects of early African Christianity may act as an inspiration for this. </w:t>
      </w:r>
    </w:p>
    <w:p w14:paraId="6039940E" w14:textId="77777777" w:rsidR="008C0875" w:rsidRPr="008C0875" w:rsidRDefault="008C0875" w:rsidP="00094737">
      <w:pPr>
        <w:spacing w:after="0" w:line="240" w:lineRule="auto"/>
        <w:jc w:val="both"/>
        <w:rPr>
          <w:rFonts w:ascii="Perpetua" w:eastAsia="Calibri" w:hAnsi="Perpetua" w:cs="Times New Roman"/>
          <w:kern w:val="2"/>
          <w:sz w:val="20"/>
          <w:szCs w:val="20"/>
          <w14:ligatures w14:val="standardContextual"/>
        </w:rPr>
      </w:pPr>
    </w:p>
    <w:p w14:paraId="1BF1C2FE" w14:textId="77777777" w:rsidR="008C0875" w:rsidRPr="008C0875" w:rsidRDefault="008C0875" w:rsidP="00094737">
      <w:pPr>
        <w:spacing w:after="0" w:line="240" w:lineRule="auto"/>
        <w:jc w:val="both"/>
        <w:rPr>
          <w:rFonts w:ascii="Perpetua" w:eastAsia="Calibri" w:hAnsi="Perpetua" w:cs="Times New Roman"/>
          <w:i/>
          <w:iCs/>
          <w:kern w:val="2"/>
          <w:sz w:val="20"/>
          <w:szCs w:val="20"/>
          <w14:ligatures w14:val="standardContextual"/>
        </w:rPr>
      </w:pPr>
      <w:r w:rsidRPr="008C0875">
        <w:rPr>
          <w:rFonts w:ascii="Perpetua" w:eastAsia="Calibri" w:hAnsi="Perpetua" w:cs="Times New Roman"/>
          <w:i/>
          <w:iCs/>
          <w:kern w:val="2"/>
          <w:sz w:val="20"/>
          <w:szCs w:val="20"/>
          <w14:ligatures w14:val="standardContextual"/>
        </w:rPr>
        <w:t>Theological Education</w:t>
      </w:r>
    </w:p>
    <w:p w14:paraId="24D23EF3" w14:textId="77777777" w:rsidR="008C0875" w:rsidRPr="008C0875" w:rsidRDefault="008C0875" w:rsidP="00094737">
      <w:pPr>
        <w:spacing w:after="0" w:line="240" w:lineRule="auto"/>
        <w:jc w:val="both"/>
        <w:rPr>
          <w:rFonts w:ascii="Perpetua" w:eastAsia="Calibri" w:hAnsi="Perpetua" w:cs="Times New Roman"/>
          <w:kern w:val="2"/>
          <w:sz w:val="20"/>
          <w:szCs w:val="20"/>
          <w14:ligatures w14:val="standardContextual"/>
        </w:rPr>
      </w:pPr>
    </w:p>
    <w:p w14:paraId="30C5BE5B" w14:textId="77777777" w:rsidR="008C0875" w:rsidRPr="008C0875" w:rsidRDefault="008C0875" w:rsidP="00094737">
      <w:pPr>
        <w:spacing w:after="0" w:line="240" w:lineRule="auto"/>
        <w:jc w:val="both"/>
        <w:rPr>
          <w:rFonts w:ascii="Perpetua" w:eastAsia="Calibri" w:hAnsi="Perpetua" w:cs="Times New Roman"/>
          <w:kern w:val="2"/>
          <w:sz w:val="20"/>
          <w:szCs w:val="20"/>
          <w14:ligatures w14:val="standardContextual"/>
        </w:rPr>
      </w:pPr>
      <w:r w:rsidRPr="008C0875">
        <w:rPr>
          <w:rFonts w:ascii="Perpetua" w:eastAsia="Calibri" w:hAnsi="Perpetua" w:cs="Times New Roman"/>
          <w:kern w:val="2"/>
          <w:sz w:val="20"/>
          <w:szCs w:val="20"/>
          <w14:ligatures w14:val="standardContextual"/>
        </w:rPr>
        <w:t>There is much more one could say; let me confine myself to one last theme where early African Christianity may offer guidance for today. It is theological education. I had hoped to include a section on suggesting the different ways in which the different branches of theological education, as we know it, developed in the early African church and perhaps to pay some particular attention to the discipline of practical or pastoral theology. But let me conclude with the issue of theological education. It is arguable that theological education was first comprehensively developed in Africa and that its true model is the Catechetical School of Alexandria.</w:t>
      </w:r>
    </w:p>
    <w:p w14:paraId="2D2466E0" w14:textId="77777777" w:rsidR="008C0875" w:rsidRPr="008C0875" w:rsidRDefault="008C0875" w:rsidP="00094737">
      <w:pPr>
        <w:spacing w:after="0" w:line="240" w:lineRule="auto"/>
        <w:ind w:firstLine="432"/>
        <w:jc w:val="both"/>
        <w:rPr>
          <w:rFonts w:ascii="Perpetua" w:eastAsia="Calibri" w:hAnsi="Perpetua" w:cs="Times New Roman"/>
          <w:kern w:val="2"/>
          <w:sz w:val="20"/>
          <w:szCs w:val="20"/>
          <w14:ligatures w14:val="standardContextual"/>
        </w:rPr>
      </w:pPr>
      <w:r w:rsidRPr="008C0875">
        <w:rPr>
          <w:rFonts w:ascii="Perpetua" w:eastAsia="Calibri" w:hAnsi="Perpetua" w:cs="Times New Roman"/>
          <w:kern w:val="2"/>
          <w:sz w:val="20"/>
          <w:szCs w:val="20"/>
          <w14:ligatures w14:val="standardContextual"/>
        </w:rPr>
        <w:t xml:space="preserve"> Here we must recall how early Christians took over and adapted the existing institutions of the weaker Roman world for their own purposes.</w:t>
      </w:r>
    </w:p>
    <w:p w14:paraId="688B7398" w14:textId="77777777" w:rsidR="008C0875" w:rsidRPr="008C0875" w:rsidRDefault="008C0875" w:rsidP="00094737">
      <w:pPr>
        <w:spacing w:after="0" w:line="240" w:lineRule="auto"/>
        <w:ind w:firstLine="432"/>
        <w:jc w:val="both"/>
        <w:rPr>
          <w:rFonts w:ascii="Perpetua" w:eastAsia="Calibri" w:hAnsi="Perpetua" w:cs="Times New Roman"/>
          <w:kern w:val="2"/>
          <w:sz w:val="20"/>
          <w:szCs w:val="20"/>
          <w14:ligatures w14:val="standardContextual"/>
        </w:rPr>
      </w:pPr>
      <w:r w:rsidRPr="008C0875">
        <w:rPr>
          <w:rFonts w:ascii="Perpetua" w:eastAsia="Calibri" w:hAnsi="Perpetua" w:cs="Times New Roman"/>
          <w:kern w:val="2"/>
          <w:sz w:val="20"/>
          <w:szCs w:val="20"/>
          <w14:ligatures w14:val="standardContextual"/>
        </w:rPr>
        <w:t>In an age when persecution might burst forth at any time, church buildings and public meetings were not feasible on any regular basis. Christians adopted the philosophical school which anyone could set up and use the model for Christian teaching. In many places, this is basically the preparation for church membership giving attention to both elementary doctrinal and moral concerns. But in Alexandria, in particular, the Catechetical School, under a succession of remarkable directors, Pantaenus and Clement both originally professional philosophers, converted to Christ and, above all, Origen brought up in a Christian home and soaked both in biblical teaching and in pagan philosophy, moved to a more complete form of Christian education.</w:t>
      </w:r>
    </w:p>
    <w:p w14:paraId="48DE6E5A" w14:textId="77777777" w:rsidR="008C0875" w:rsidRPr="008C0875" w:rsidRDefault="008C0875" w:rsidP="00094737">
      <w:pPr>
        <w:spacing w:after="0" w:line="240" w:lineRule="auto"/>
        <w:ind w:firstLine="432"/>
        <w:jc w:val="both"/>
        <w:rPr>
          <w:rFonts w:ascii="Perpetua" w:eastAsia="Calibri" w:hAnsi="Perpetua" w:cs="Times New Roman"/>
          <w:kern w:val="2"/>
          <w:sz w:val="20"/>
          <w:szCs w:val="20"/>
          <w14:ligatures w14:val="standardContextual"/>
        </w:rPr>
      </w:pPr>
      <w:r w:rsidRPr="008C0875">
        <w:rPr>
          <w:rFonts w:ascii="Perpetua" w:eastAsia="Calibri" w:hAnsi="Perpetua" w:cs="Times New Roman"/>
          <w:kern w:val="2"/>
          <w:sz w:val="20"/>
          <w:szCs w:val="20"/>
          <w14:ligatures w14:val="standardContextual"/>
        </w:rPr>
        <w:t xml:space="preserve">Let us notice that theological education developed in early African Christianity, designed not as is common today to train ministers, it is to train Christians. It was addressed to the whole church. Alexandria was a major intellectual center with a famous university and a famous library. Its huge Jewish community boasted major </w:t>
      </w:r>
      <w:r w:rsidRPr="008C0875">
        <w:rPr>
          <w:rFonts w:ascii="Perpetua" w:eastAsia="Calibri" w:hAnsi="Perpetua" w:cs="Times New Roman"/>
          <w:kern w:val="2"/>
          <w:sz w:val="20"/>
          <w:szCs w:val="20"/>
          <w14:ligatures w14:val="standardContextual"/>
        </w:rPr>
        <w:lastRenderedPageBreak/>
        <w:t xml:space="preserve">Hebrew Biblical scholars, philosophers of every kind, enlightened and bogus, religions of every sort from every part of the world. Esoteric cults that offered secrets of life jostled each other for a hearing. Those who inquired about Christian faith might already have been trying one or more, or many of these other paths. Their minds might be full of the resultant material. The Catechetical School sought to teach Christian faith and life in this setting bringing Biblical Christianity into the mix. And in the background there was always the threat of the renewal of persecution; the alleged theological education had to prepare people for potential martyrdom. </w:t>
      </w:r>
    </w:p>
    <w:p w14:paraId="183C4E43" w14:textId="77777777" w:rsidR="008C0875" w:rsidRPr="008C0875" w:rsidRDefault="008C0875" w:rsidP="00094737">
      <w:pPr>
        <w:spacing w:after="0" w:line="240" w:lineRule="auto"/>
        <w:ind w:firstLine="432"/>
        <w:jc w:val="both"/>
        <w:rPr>
          <w:rFonts w:ascii="Perpetua" w:eastAsia="Calibri" w:hAnsi="Perpetua" w:cs="Times New Roman"/>
          <w:kern w:val="2"/>
          <w:sz w:val="20"/>
          <w:szCs w:val="20"/>
          <w14:ligatures w14:val="standardContextual"/>
        </w:rPr>
      </w:pPr>
      <w:r w:rsidRPr="008C0875">
        <w:rPr>
          <w:rFonts w:ascii="Perpetua" w:eastAsia="Calibri" w:hAnsi="Perpetua" w:cs="Times New Roman"/>
          <w:kern w:val="2"/>
          <w:sz w:val="20"/>
          <w:szCs w:val="20"/>
          <w14:ligatures w14:val="standardContextual"/>
        </w:rPr>
        <w:t xml:space="preserve">With no time to explore the successive contributions of Pantaenus, Clement and Origen, let us just note one or two items with the foundations of theological education as we know it were being laid. Origen, who had a double career in Egypt and Syria, lays the foundations for the textual study of the Bible. Few Greek speaking scholars of his day knew Hebrew. Origen learned it and produced a remarkable document, the Hexapla. It set out the text of the Hebrew Bible in parallel columns containing a transliteration of that Hebrew text into Greek, the Greek alphabet, and all the other Greek translations known at that time, together with some other manuscripts of the Psalms. </w:t>
      </w:r>
    </w:p>
    <w:p w14:paraId="5C931277" w14:textId="77777777" w:rsidR="008C0875" w:rsidRPr="008C0875" w:rsidRDefault="008C0875" w:rsidP="00094737">
      <w:pPr>
        <w:spacing w:after="0" w:line="240" w:lineRule="auto"/>
        <w:ind w:firstLine="432"/>
        <w:jc w:val="both"/>
        <w:rPr>
          <w:rFonts w:ascii="Perpetua" w:eastAsia="Calibri" w:hAnsi="Perpetua" w:cs="Times New Roman"/>
          <w:kern w:val="2"/>
          <w:sz w:val="20"/>
          <w:szCs w:val="20"/>
          <w14:ligatures w14:val="standardContextual"/>
        </w:rPr>
      </w:pPr>
      <w:r w:rsidRPr="008C0875">
        <w:rPr>
          <w:rFonts w:ascii="Perpetua" w:eastAsia="Calibri" w:hAnsi="Perpetua" w:cs="Times New Roman"/>
          <w:kern w:val="2"/>
          <w:sz w:val="20"/>
          <w:szCs w:val="20"/>
          <w14:ligatures w14:val="standardContextual"/>
        </w:rPr>
        <w:t xml:space="preserve">We see that in early African Christianity, the emergence of the Bible commentary, the first Bible commentaries that we know of come from Africa and Origen was to take this to a new peak. We may, even if we were following the Origen story, look to the beginning of Christian publishing. His partnership with a man named Ambrose, who provided a series of shorthand writers who took down Origen’s lectures and sermons, and a set of copyists who, in effect, brought them to publication. I would that we had time to consider so much else and above all, it seems ineffective to miss out the towering figure of Augustine, another North African theologian whose greatest work the </w:t>
      </w:r>
      <w:r w:rsidRPr="008C0875">
        <w:rPr>
          <w:rFonts w:ascii="Perpetua" w:eastAsia="Calibri" w:hAnsi="Perpetua" w:cs="Times New Roman"/>
          <w:i/>
          <w:iCs/>
          <w:kern w:val="2"/>
          <w:sz w:val="20"/>
          <w:szCs w:val="20"/>
          <w14:ligatures w14:val="standardContextual"/>
        </w:rPr>
        <w:t>City of God</w:t>
      </w:r>
      <w:r w:rsidRPr="008C0875">
        <w:rPr>
          <w:rFonts w:ascii="Perpetua" w:eastAsia="Calibri" w:hAnsi="Perpetua" w:cs="Times New Roman"/>
          <w:kern w:val="2"/>
          <w:sz w:val="20"/>
          <w:szCs w:val="20"/>
          <w14:ligatures w14:val="standardContextual"/>
        </w:rPr>
        <w:t xml:space="preserve"> is not only a comprehensive study of Christianity and society, but a dialogue with the primal religions of his own day. But we must move to a close and for this purpose, I return to Origen. </w:t>
      </w:r>
    </w:p>
    <w:p w14:paraId="11384CEE" w14:textId="77777777" w:rsidR="008C0875" w:rsidRPr="008C0875" w:rsidRDefault="008C0875" w:rsidP="00094737">
      <w:pPr>
        <w:spacing w:after="0" w:line="240" w:lineRule="auto"/>
        <w:jc w:val="both"/>
        <w:rPr>
          <w:rFonts w:ascii="Perpetua" w:eastAsia="Calibri" w:hAnsi="Perpetua" w:cs="Times New Roman"/>
          <w:kern w:val="2"/>
          <w:sz w:val="20"/>
          <w:szCs w:val="20"/>
          <w14:ligatures w14:val="standardContextual"/>
        </w:rPr>
      </w:pPr>
    </w:p>
    <w:p w14:paraId="37EBF6F1" w14:textId="77777777" w:rsidR="008C0875" w:rsidRPr="008C0875" w:rsidRDefault="008C0875" w:rsidP="00094737">
      <w:pPr>
        <w:spacing w:after="0" w:line="240" w:lineRule="auto"/>
        <w:jc w:val="both"/>
        <w:rPr>
          <w:rFonts w:ascii="Perpetua" w:eastAsia="Calibri" w:hAnsi="Perpetua" w:cs="Times New Roman"/>
          <w:b/>
          <w:bCs/>
          <w:kern w:val="2"/>
          <w:sz w:val="20"/>
          <w:szCs w:val="20"/>
          <w14:ligatures w14:val="standardContextual"/>
        </w:rPr>
      </w:pPr>
      <w:r w:rsidRPr="008C0875">
        <w:rPr>
          <w:rFonts w:ascii="Perpetua" w:eastAsia="Calibri" w:hAnsi="Perpetua" w:cs="Times New Roman"/>
          <w:b/>
          <w:bCs/>
          <w:kern w:val="2"/>
          <w:sz w:val="20"/>
          <w:szCs w:val="20"/>
          <w14:ligatures w14:val="standardContextual"/>
        </w:rPr>
        <w:t>Conclusion</w:t>
      </w:r>
    </w:p>
    <w:p w14:paraId="726D4308" w14:textId="77777777" w:rsidR="008C0875" w:rsidRPr="008C0875" w:rsidRDefault="008C0875" w:rsidP="00094737">
      <w:pPr>
        <w:spacing w:after="0" w:line="240" w:lineRule="auto"/>
        <w:jc w:val="both"/>
        <w:rPr>
          <w:rFonts w:ascii="Perpetua" w:eastAsia="Calibri" w:hAnsi="Perpetua" w:cs="Times New Roman"/>
          <w:kern w:val="2"/>
          <w:sz w:val="20"/>
          <w:szCs w:val="20"/>
          <w14:ligatures w14:val="standardContextual"/>
        </w:rPr>
      </w:pPr>
    </w:p>
    <w:p w14:paraId="64B16EAF" w14:textId="77777777" w:rsidR="008C0875" w:rsidRPr="008C0875" w:rsidRDefault="008C0875" w:rsidP="00094737">
      <w:pPr>
        <w:spacing w:after="0" w:line="240" w:lineRule="auto"/>
        <w:jc w:val="both"/>
        <w:rPr>
          <w:rFonts w:ascii="Perpetua" w:eastAsia="Calibri" w:hAnsi="Perpetua" w:cs="Times New Roman"/>
          <w:kern w:val="2"/>
          <w:sz w:val="20"/>
          <w:szCs w:val="20"/>
          <w14:ligatures w14:val="standardContextual"/>
        </w:rPr>
      </w:pPr>
      <w:r w:rsidRPr="008C0875">
        <w:rPr>
          <w:rFonts w:ascii="Perpetua" w:eastAsia="Calibri" w:hAnsi="Perpetua" w:cs="Times New Roman"/>
          <w:kern w:val="2"/>
          <w:sz w:val="20"/>
          <w:szCs w:val="20"/>
          <w14:ligatures w14:val="standardContextual"/>
        </w:rPr>
        <w:t xml:space="preserve">We are fortunate in having both an account of Origen as a teacher from one of his distinguished pupils, Gregory Thaumaturgus, and a letter from Origen to Gregory, encouraging him to devote himself to theology and not get side-tracked by thoughts of the wealth and prestige that might follow from a life devoted to law or politics. </w:t>
      </w:r>
    </w:p>
    <w:p w14:paraId="05F01541" w14:textId="77777777" w:rsidR="008C0875" w:rsidRPr="008C0875" w:rsidRDefault="008C0875" w:rsidP="00094737">
      <w:pPr>
        <w:spacing w:after="0" w:line="240" w:lineRule="auto"/>
        <w:ind w:firstLine="432"/>
        <w:jc w:val="both"/>
        <w:rPr>
          <w:rFonts w:ascii="Perpetua" w:eastAsia="Calibri" w:hAnsi="Perpetua" w:cs="Times New Roman"/>
          <w:kern w:val="2"/>
          <w:sz w:val="20"/>
          <w:szCs w:val="20"/>
          <w14:ligatures w14:val="standardContextual"/>
        </w:rPr>
      </w:pPr>
      <w:r w:rsidRPr="008C0875">
        <w:rPr>
          <w:rFonts w:ascii="Perpetua" w:eastAsia="Calibri" w:hAnsi="Perpetua" w:cs="Times New Roman"/>
          <w:kern w:val="2"/>
          <w:sz w:val="20"/>
          <w:szCs w:val="20"/>
          <w14:ligatures w14:val="standardContextual"/>
        </w:rPr>
        <w:t xml:space="preserve">He illustrates the way forward by a meditation on Scripture. Consider, he says, the Old Testament account of the setting up of the tabernacle in the wilderness, where did the Israelites get the gold from to make the figures of the cherubim? Or the accessories such as the pot, the gold pot that held the manna? The answer, of course, is that the Israelites had spoiled the Egyptians; it was Egyptian gold that adorned the house of God and the curtains of the first tabernacle must have been made of Egyptian cloth. It is our business as Christians, Origen concludes, to take the things that are misused in the heathen world and to fashion out of them things which are for the worship and service of God. </w:t>
      </w:r>
    </w:p>
    <w:p w14:paraId="666C24BF" w14:textId="77777777" w:rsidR="008C0875" w:rsidRPr="008C0875" w:rsidRDefault="008C0875" w:rsidP="00094737">
      <w:pPr>
        <w:spacing w:after="0" w:line="240" w:lineRule="auto"/>
        <w:ind w:firstLine="432"/>
        <w:jc w:val="both"/>
        <w:rPr>
          <w:rFonts w:ascii="Perpetua" w:eastAsia="Calibri" w:hAnsi="Perpetua" w:cs="Times New Roman"/>
          <w:kern w:val="2"/>
          <w:sz w:val="20"/>
          <w:szCs w:val="20"/>
          <w14:ligatures w14:val="standardContextual"/>
        </w:rPr>
      </w:pPr>
      <w:r w:rsidRPr="008C0875">
        <w:rPr>
          <w:rFonts w:ascii="Perpetua" w:eastAsia="Calibri" w:hAnsi="Perpetua" w:cs="Times New Roman"/>
          <w:kern w:val="2"/>
          <w:sz w:val="20"/>
          <w:szCs w:val="20"/>
          <w14:ligatures w14:val="standardContextual"/>
        </w:rPr>
        <w:lastRenderedPageBreak/>
        <w:t>It is a path which Origen goes on to warn Gregory has built-in dangers; some people in the process have set up idols, but the obligation to pursue it remains.</w:t>
      </w:r>
    </w:p>
    <w:p w14:paraId="5DCA8DD3" w14:textId="77777777" w:rsidR="008C0875" w:rsidRPr="008C0875" w:rsidRDefault="008C0875" w:rsidP="00094737">
      <w:pPr>
        <w:spacing w:after="0" w:line="240" w:lineRule="auto"/>
        <w:ind w:firstLine="432"/>
        <w:jc w:val="both"/>
        <w:rPr>
          <w:rFonts w:ascii="Perpetua" w:eastAsia="Calibri" w:hAnsi="Perpetua" w:cs="Times New Roman"/>
          <w:kern w:val="2"/>
          <w:sz w:val="20"/>
          <w:szCs w:val="20"/>
          <w14:ligatures w14:val="standardContextual"/>
        </w:rPr>
      </w:pPr>
      <w:r w:rsidRPr="008C0875">
        <w:rPr>
          <w:rFonts w:ascii="Perpetua" w:eastAsia="Calibri" w:hAnsi="Perpetua" w:cs="Times New Roman"/>
          <w:kern w:val="2"/>
          <w:sz w:val="20"/>
          <w:szCs w:val="20"/>
          <w14:ligatures w14:val="standardContextual"/>
        </w:rPr>
        <w:t>It seems also a valid challenge on the part of an early African Christian scholar, thinker and writer to his successors today, whether they be in Africa or elsewhere.</w:t>
      </w:r>
    </w:p>
    <w:p w14:paraId="3EAFBAB5" w14:textId="77777777" w:rsidR="008C0875" w:rsidRPr="008C0875" w:rsidRDefault="008C0875" w:rsidP="00094737">
      <w:pPr>
        <w:spacing w:after="0" w:line="240" w:lineRule="auto"/>
        <w:jc w:val="both"/>
        <w:rPr>
          <w:rFonts w:ascii="Perpetua" w:eastAsia="Calibri" w:hAnsi="Perpetua" w:cs="Times New Roman"/>
          <w:kern w:val="2"/>
          <w:sz w:val="20"/>
          <w:szCs w:val="20"/>
          <w14:ligatures w14:val="standardContextual"/>
        </w:rPr>
      </w:pPr>
    </w:p>
    <w:p w14:paraId="769A9089" w14:textId="77777777" w:rsidR="008C0875" w:rsidRPr="008C0875" w:rsidRDefault="008C0875" w:rsidP="00094737">
      <w:pPr>
        <w:spacing w:after="0" w:line="240" w:lineRule="auto"/>
        <w:jc w:val="both"/>
        <w:rPr>
          <w:rFonts w:ascii="Perpetua" w:eastAsia="Calibri" w:hAnsi="Perpetua" w:cs="Times New Roman"/>
          <w:kern w:val="2"/>
          <w:sz w:val="20"/>
          <w:szCs w:val="20"/>
          <w14:ligatures w14:val="standardContextual"/>
        </w:rPr>
      </w:pPr>
      <w:r w:rsidRPr="008C0875">
        <w:rPr>
          <w:rFonts w:ascii="Perpetua" w:eastAsia="Calibri" w:hAnsi="Perpetua" w:cs="Times New Roman"/>
          <w:kern w:val="2"/>
          <w:sz w:val="20"/>
          <w:szCs w:val="20"/>
          <w14:ligatures w14:val="standardContextual"/>
        </w:rPr>
        <w:t>Thank you.</w:t>
      </w:r>
    </w:p>
    <w:p w14:paraId="22A7CF5B" w14:textId="77777777" w:rsidR="008C0875" w:rsidRPr="008C0875" w:rsidRDefault="008C0875" w:rsidP="00094737">
      <w:pPr>
        <w:spacing w:after="0" w:line="240" w:lineRule="auto"/>
        <w:jc w:val="both"/>
        <w:rPr>
          <w:rFonts w:ascii="Perpetua" w:eastAsia="Calibri" w:hAnsi="Perpetua" w:cs="Times New Roman"/>
          <w:kern w:val="2"/>
          <w:sz w:val="20"/>
          <w:szCs w:val="20"/>
          <w14:ligatures w14:val="standardContextual"/>
        </w:rPr>
      </w:pPr>
    </w:p>
    <w:p w14:paraId="2F5533A8" w14:textId="77777777" w:rsidR="0030422B" w:rsidRDefault="0030422B">
      <w:pPr>
        <w:spacing w:after="0" w:line="240" w:lineRule="auto"/>
        <w:jc w:val="center"/>
      </w:pPr>
      <w:r>
        <w:t>Map of Ancient Africa</w:t>
      </w:r>
    </w:p>
    <w:p w14:paraId="78B32DD5" w14:textId="25EE82F6" w:rsidR="0030422B" w:rsidRPr="00D8509F" w:rsidRDefault="0030422B">
      <w:pPr>
        <w:spacing w:after="0" w:line="240" w:lineRule="auto"/>
        <w:jc w:val="center"/>
      </w:pPr>
      <w:r w:rsidRPr="0030422B">
        <w:rPr>
          <w:noProof/>
        </w:rPr>
        <w:drawing>
          <wp:anchor distT="0" distB="0" distL="114300" distR="114300" simplePos="0" relativeHeight="251663360" behindDoc="0" locked="0" layoutInCell="1" allowOverlap="1" wp14:anchorId="4A22F002" wp14:editId="395E51FF">
            <wp:simplePos x="0" y="0"/>
            <wp:positionH relativeFrom="column">
              <wp:posOffset>0</wp:posOffset>
            </wp:positionH>
            <wp:positionV relativeFrom="paragraph">
              <wp:posOffset>170815</wp:posOffset>
            </wp:positionV>
            <wp:extent cx="3931920" cy="303212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931920" cy="3032125"/>
                    </a:xfrm>
                    <a:prstGeom prst="rect">
                      <a:avLst/>
                    </a:prstGeom>
                  </pic:spPr>
                </pic:pic>
              </a:graphicData>
            </a:graphic>
          </wp:anchor>
        </w:drawing>
      </w:r>
    </w:p>
    <w:p w14:paraId="3880EDAB" w14:textId="77777777" w:rsidR="0030422B" w:rsidRPr="00D8509F" w:rsidRDefault="0030422B">
      <w:pPr>
        <w:spacing w:after="0" w:line="240" w:lineRule="auto"/>
        <w:jc w:val="center"/>
      </w:pPr>
    </w:p>
    <w:p w14:paraId="452A7B6F" w14:textId="77777777" w:rsidR="0030422B" w:rsidRPr="0030422B" w:rsidRDefault="0030422B" w:rsidP="0030422B">
      <w:pPr>
        <w:spacing w:after="0" w:line="240" w:lineRule="auto"/>
        <w:rPr>
          <w:rFonts w:ascii="Perpetua" w:hAnsi="Perpetua"/>
          <w:lang w:val="fr-CA"/>
        </w:rPr>
      </w:pPr>
      <w:r w:rsidRPr="0030422B">
        <w:rPr>
          <w:rFonts w:ascii="Perpetua" w:hAnsi="Perpetua"/>
          <w:b/>
          <w:bCs/>
          <w:lang w:val="fr-CA"/>
        </w:rPr>
        <w:t>Source</w:t>
      </w:r>
      <w:r w:rsidRPr="0030422B">
        <w:rPr>
          <w:rFonts w:ascii="Perpetua" w:hAnsi="Perpetua"/>
          <w:lang w:val="fr-CA"/>
        </w:rPr>
        <w:t>: https://dacb.org/sort/stories/ancient-church-index/</w:t>
      </w:r>
    </w:p>
    <w:p w14:paraId="58DB97AB" w14:textId="3072247C" w:rsidR="00B81C8F" w:rsidRPr="0030422B" w:rsidRDefault="0030422B">
      <w:pPr>
        <w:spacing w:after="0" w:line="240" w:lineRule="auto"/>
        <w:jc w:val="center"/>
        <w:rPr>
          <w:lang w:val="fr-CA"/>
        </w:rPr>
      </w:pPr>
      <w:r w:rsidRPr="0030422B">
        <w:rPr>
          <w:lang w:val="fr-CA"/>
        </w:rPr>
        <w:t xml:space="preserve"> </w:t>
      </w:r>
      <w:r w:rsidR="00B81C8F" w:rsidRPr="0030422B">
        <w:rPr>
          <w:lang w:val="fr-CA"/>
        </w:rPr>
        <w:br w:type="page"/>
      </w:r>
    </w:p>
    <w:p w14:paraId="4F395661" w14:textId="73D9730D" w:rsidR="00385665" w:rsidRPr="00385665" w:rsidRDefault="00385665" w:rsidP="00385665">
      <w:pPr>
        <w:pStyle w:val="Heading2"/>
        <w:jc w:val="center"/>
        <w:rPr>
          <w:rFonts w:ascii="Perpetua" w:eastAsia="Calibri" w:hAnsi="Perpetua"/>
          <w:sz w:val="24"/>
          <w:szCs w:val="24"/>
        </w:rPr>
      </w:pPr>
      <w:bookmarkStart w:id="2" w:name="_Toc158365915"/>
      <w:r w:rsidRPr="00385665">
        <w:rPr>
          <w:rFonts w:ascii="Perpetua" w:eastAsia="Calibri" w:hAnsi="Perpetua"/>
          <w:sz w:val="24"/>
          <w:szCs w:val="24"/>
        </w:rPr>
        <w:lastRenderedPageBreak/>
        <w:t>Biographies</w:t>
      </w:r>
      <w:bookmarkEnd w:id="2"/>
      <w:r w:rsidRPr="00385665">
        <w:rPr>
          <w:rFonts w:ascii="Perpetua" w:eastAsia="Calibri" w:hAnsi="Perpetua"/>
          <w:sz w:val="24"/>
          <w:szCs w:val="24"/>
        </w:rPr>
        <w:br/>
      </w:r>
    </w:p>
    <w:p w14:paraId="0B329990" w14:textId="68A64F33" w:rsidR="00CF3E88" w:rsidRPr="00CF3E88" w:rsidRDefault="00CF3E88" w:rsidP="00CF3E88">
      <w:pPr>
        <w:pStyle w:val="Heading2"/>
        <w:rPr>
          <w:rFonts w:eastAsia="Calibri"/>
        </w:rPr>
      </w:pPr>
      <w:bookmarkStart w:id="3" w:name="_Toc158365916"/>
      <w:r w:rsidRPr="00CF3E88">
        <w:rPr>
          <w:rFonts w:eastAsia="Calibri"/>
        </w:rPr>
        <w:t>Quodvultdeus of Carthage</w:t>
      </w:r>
      <w:bookmarkEnd w:id="3"/>
    </w:p>
    <w:p w14:paraId="2F39D958" w14:textId="77777777" w:rsidR="00CF3E88" w:rsidRPr="00CF3E88" w:rsidRDefault="00CF3E88" w:rsidP="00CF3E88">
      <w:pPr>
        <w:spacing w:after="0" w:line="240" w:lineRule="auto"/>
        <w:jc w:val="both"/>
        <w:rPr>
          <w:rFonts w:ascii="Perpetua" w:eastAsia="Calibri" w:hAnsi="Perpetua" w:cs="Times New Roman"/>
          <w:b/>
          <w:bCs/>
          <w:sz w:val="20"/>
          <w:szCs w:val="20"/>
        </w:rPr>
      </w:pPr>
      <w:r w:rsidRPr="00CF3E88">
        <w:rPr>
          <w:rFonts w:ascii="Perpetua" w:eastAsia="Calibri" w:hAnsi="Perpetua" w:cs="Times New Roman"/>
          <w:b/>
          <w:bCs/>
          <w:sz w:val="20"/>
          <w:szCs w:val="20"/>
        </w:rPr>
        <w:t>390 – 454 CE</w:t>
      </w:r>
    </w:p>
    <w:p w14:paraId="5953C901" w14:textId="77777777" w:rsidR="00CF3E88" w:rsidRPr="00CF3E88" w:rsidRDefault="00CF3E88" w:rsidP="00CF3E88">
      <w:pPr>
        <w:spacing w:after="0" w:line="240" w:lineRule="auto"/>
        <w:jc w:val="both"/>
        <w:rPr>
          <w:rFonts w:ascii="Perpetua" w:eastAsia="Calibri" w:hAnsi="Perpetua" w:cs="Times New Roman"/>
          <w:b/>
          <w:bCs/>
          <w:sz w:val="20"/>
          <w:szCs w:val="20"/>
        </w:rPr>
      </w:pPr>
      <w:r w:rsidRPr="00CF3E88">
        <w:rPr>
          <w:rFonts w:ascii="Perpetua" w:eastAsia="Calibri" w:hAnsi="Perpetua" w:cs="Times New Roman"/>
          <w:b/>
          <w:bCs/>
          <w:sz w:val="20"/>
          <w:szCs w:val="20"/>
        </w:rPr>
        <w:t>Ancient Christian Church</w:t>
      </w:r>
    </w:p>
    <w:p w14:paraId="7E530280" w14:textId="77777777" w:rsidR="00CF3E88" w:rsidRPr="00CF3E88" w:rsidRDefault="00CF3E88" w:rsidP="00CF3E88">
      <w:pPr>
        <w:spacing w:after="0" w:line="240" w:lineRule="auto"/>
        <w:jc w:val="both"/>
        <w:rPr>
          <w:rFonts w:ascii="Perpetua" w:eastAsia="Calibri" w:hAnsi="Perpetua" w:cs="Times New Roman"/>
          <w:b/>
          <w:bCs/>
          <w:sz w:val="20"/>
          <w:szCs w:val="20"/>
        </w:rPr>
      </w:pPr>
      <w:r w:rsidRPr="00CF3E88">
        <w:rPr>
          <w:rFonts w:ascii="Perpetua" w:eastAsia="Calibri" w:hAnsi="Perpetua" w:cs="Times New Roman"/>
          <w:b/>
          <w:bCs/>
          <w:sz w:val="20"/>
          <w:szCs w:val="20"/>
        </w:rPr>
        <w:t>Tunisia</w:t>
      </w:r>
    </w:p>
    <w:p w14:paraId="5193F238" w14:textId="77777777" w:rsidR="00CF3E88" w:rsidRPr="00CF3E88" w:rsidRDefault="00CF3E88" w:rsidP="00CF3E88">
      <w:pPr>
        <w:spacing w:after="0" w:line="240" w:lineRule="auto"/>
        <w:jc w:val="both"/>
        <w:rPr>
          <w:rFonts w:ascii="Perpetua" w:eastAsia="Calibri" w:hAnsi="Perpetua" w:cs="Times New Roman"/>
          <w:sz w:val="20"/>
          <w:szCs w:val="20"/>
        </w:rPr>
      </w:pPr>
    </w:p>
    <w:p w14:paraId="33C022CA" w14:textId="77777777" w:rsidR="00CF3E88" w:rsidRPr="00CF3E88" w:rsidRDefault="00CF3E88" w:rsidP="00CF3E88">
      <w:pPr>
        <w:spacing w:after="0" w:line="240" w:lineRule="auto"/>
        <w:jc w:val="both"/>
        <w:rPr>
          <w:rFonts w:ascii="Perpetua" w:eastAsia="Calibri" w:hAnsi="Perpetua" w:cs="Times New Roman"/>
          <w:sz w:val="20"/>
          <w:szCs w:val="20"/>
        </w:rPr>
      </w:pPr>
      <w:r w:rsidRPr="00CF3E88">
        <w:rPr>
          <w:rFonts w:ascii="Perpetua" w:eastAsia="Calibri" w:hAnsi="Perpetua" w:cs="Times New Roman"/>
          <w:sz w:val="20"/>
          <w:szCs w:val="20"/>
        </w:rPr>
        <w:t xml:space="preserve">Quodvultdeus (whose name means “What God wills”), the fifth-century Bishop of Carthage, is a remarkable figure in early Christian history whose life and works have left an indelible mark on the theological landscape of his time. Born in the turbulent period of the decline of the Western Roman Empire, and harassed by the Vandal invasions of his native North Africa, Quodvultdeus navigated the treacherous waters of religious strife, persecution, and political turmoil. </w:t>
      </w:r>
    </w:p>
    <w:p w14:paraId="6D036E0E" w14:textId="77777777" w:rsidR="00CF3E88" w:rsidRPr="00CF3E88" w:rsidRDefault="00CF3E88" w:rsidP="00CF3E88">
      <w:pPr>
        <w:spacing w:after="0" w:line="240" w:lineRule="auto"/>
        <w:ind w:firstLine="432"/>
        <w:jc w:val="both"/>
        <w:rPr>
          <w:rFonts w:ascii="Perpetua" w:eastAsia="Calibri" w:hAnsi="Perpetua" w:cs="Times New Roman"/>
          <w:sz w:val="20"/>
          <w:szCs w:val="20"/>
        </w:rPr>
      </w:pPr>
      <w:r w:rsidRPr="00CF3E88">
        <w:rPr>
          <w:rFonts w:ascii="Perpetua" w:eastAsia="Calibri" w:hAnsi="Perpetua" w:cs="Times New Roman"/>
          <w:sz w:val="20"/>
          <w:szCs w:val="20"/>
        </w:rPr>
        <w:t xml:space="preserve">Little is known about Quodvultdeus' early life, but he may have been born in Carthage around the year 390 CE. His later writings reveal a rigorous education in theology and classical studies, which laid the foundation for his future role as a bishop and theologian. Quodvultdeus is first known through an exchange of letters with Augustine of Hippo in 428–429 CE. Then as a deacon in Carthage, Quodvultdeus entreated Augustine to compose a book on heresies for use by the Carthaginian clergy. Augustine at least conceded and produced </w:t>
      </w:r>
      <w:r w:rsidRPr="00CF3E88">
        <w:rPr>
          <w:rFonts w:ascii="Perpetua" w:eastAsia="Calibri" w:hAnsi="Perpetua" w:cs="Times New Roman"/>
          <w:i/>
          <w:iCs/>
          <w:sz w:val="20"/>
          <w:szCs w:val="20"/>
        </w:rPr>
        <w:t>On Heresies, to Quodvultdeus</w:t>
      </w:r>
      <w:r w:rsidRPr="00CF3E88">
        <w:rPr>
          <w:rFonts w:ascii="Perpetua" w:eastAsia="Calibri" w:hAnsi="Perpetua" w:cs="Times New Roman"/>
          <w:sz w:val="20"/>
          <w:szCs w:val="20"/>
        </w:rPr>
        <w:t xml:space="preserve">, which traced heretical groups from Simonian Gnosticism up to the Pelagians of Augustine’s own time. </w:t>
      </w:r>
    </w:p>
    <w:p w14:paraId="37A204A6" w14:textId="77777777" w:rsidR="00CF3E88" w:rsidRPr="00CF3E88" w:rsidRDefault="00CF3E88" w:rsidP="00CF3E88">
      <w:pPr>
        <w:spacing w:after="0" w:line="240" w:lineRule="auto"/>
        <w:ind w:firstLine="432"/>
        <w:jc w:val="both"/>
        <w:rPr>
          <w:rFonts w:ascii="Perpetua" w:eastAsia="Calibri" w:hAnsi="Perpetua" w:cs="Times New Roman"/>
          <w:sz w:val="20"/>
          <w:szCs w:val="20"/>
        </w:rPr>
      </w:pPr>
      <w:r w:rsidRPr="00CF3E88">
        <w:rPr>
          <w:rFonts w:ascii="Perpetua" w:eastAsia="Calibri" w:hAnsi="Perpetua" w:cs="Times New Roman"/>
          <w:sz w:val="20"/>
          <w:szCs w:val="20"/>
        </w:rPr>
        <w:t>Scholarly debates over the authenticity of texts ascribed to Quodvultdeus complicate the reconstruction of the remainder of his life, but there is a general consensus that he moved from deacon to assistant bishop of Carthage around 435 CE and then succeeded Capreolus as bishop of Carthage around 437 CE. It was likely during the mid 430s that Quodvultdeus produced three creedal homilies for catechumens in defense of the Nicene Creed against challenges from Jews, pagans, and heretics (particularly Arians).</w:t>
      </w:r>
    </w:p>
    <w:p w14:paraId="5D992DFE" w14:textId="77777777" w:rsidR="00CF3E88" w:rsidRPr="00CF3E88" w:rsidRDefault="00CF3E88" w:rsidP="00CF3E88">
      <w:pPr>
        <w:spacing w:after="0" w:line="240" w:lineRule="auto"/>
        <w:ind w:firstLine="432"/>
        <w:jc w:val="both"/>
        <w:rPr>
          <w:rFonts w:ascii="Perpetua" w:eastAsia="Calibri" w:hAnsi="Perpetua" w:cs="Times New Roman"/>
          <w:sz w:val="20"/>
          <w:szCs w:val="20"/>
        </w:rPr>
      </w:pPr>
      <w:r w:rsidRPr="00CF3E88">
        <w:rPr>
          <w:rFonts w:ascii="Perpetua" w:eastAsia="Calibri" w:hAnsi="Perpetua" w:cs="Times New Roman"/>
          <w:sz w:val="20"/>
          <w:szCs w:val="20"/>
        </w:rPr>
        <w:t xml:space="preserve">This period of Quodvultdeus’ life was marked by religious controversies and disputes. The Carthaginian church already faced significant internal dissent as a result of the Donatist Controversy, and by the time Quodvultdeus became bishop, Gaiseric and the Vandal armies had already swept across much of North Africa (Augustine’s city of Hippo had fallen to them in 430 CE). The Vandals posed a political threat, but the theological threat from the Vandals, who were Arians, was just as real in the eyes of Quodvultdeus. </w:t>
      </w:r>
    </w:p>
    <w:p w14:paraId="5886535F" w14:textId="77777777" w:rsidR="00CF3E88" w:rsidRPr="00CF3E88" w:rsidRDefault="00CF3E88" w:rsidP="00CF3E88">
      <w:pPr>
        <w:spacing w:after="0" w:line="240" w:lineRule="auto"/>
        <w:ind w:firstLine="432"/>
        <w:jc w:val="both"/>
        <w:rPr>
          <w:rFonts w:ascii="Perpetua" w:eastAsia="Calibri" w:hAnsi="Perpetua" w:cs="Times New Roman"/>
          <w:sz w:val="20"/>
          <w:szCs w:val="20"/>
        </w:rPr>
      </w:pPr>
      <w:r w:rsidRPr="00CF3E88">
        <w:rPr>
          <w:rFonts w:ascii="Perpetua" w:eastAsia="Calibri" w:hAnsi="Perpetua" w:cs="Times New Roman"/>
          <w:sz w:val="20"/>
          <w:szCs w:val="20"/>
        </w:rPr>
        <w:t xml:space="preserve">In 439 CE, Gaiseric violated a treaty with the Roman Empire and launched an assault on Carthage and the Roman navy docked in its port. He conquered the city and removed all non-Arian Christian leaders. Quodvultdeus, unwilling to renounce his faith or compromise his beliefs, chose exile over submission. According to the bishop and historian Victor of Vita, Quodvultdeus and the other clergy who refused to submit or convert were placed naked in leaky ships and sent out to sea. The intent was likely for them all to drown, but Quodvultdeus’ ship miraculously arrived safely in the port </w:t>
      </w:r>
      <w:r w:rsidRPr="00CF3E88">
        <w:rPr>
          <w:rFonts w:ascii="Perpetua" w:eastAsia="Calibri" w:hAnsi="Perpetua" w:cs="Times New Roman"/>
          <w:sz w:val="20"/>
          <w:szCs w:val="20"/>
        </w:rPr>
        <w:lastRenderedPageBreak/>
        <w:t>of Naples. Naples welcomed him with open arms, and there he found refuge to continue his theological pursuits for the remainder of his life.</w:t>
      </w:r>
    </w:p>
    <w:p w14:paraId="34394525" w14:textId="77777777" w:rsidR="00CF3E88" w:rsidRPr="00CF3E88" w:rsidRDefault="00CF3E88" w:rsidP="00CF3E88">
      <w:pPr>
        <w:spacing w:after="0" w:line="240" w:lineRule="auto"/>
        <w:ind w:firstLine="432"/>
        <w:jc w:val="both"/>
        <w:rPr>
          <w:rFonts w:ascii="Perpetua" w:eastAsia="Calibri" w:hAnsi="Perpetua" w:cs="Times New Roman"/>
          <w:sz w:val="20"/>
          <w:szCs w:val="20"/>
        </w:rPr>
      </w:pPr>
      <w:r w:rsidRPr="00CF3E88">
        <w:rPr>
          <w:rFonts w:ascii="Perpetua" w:eastAsia="Calibri" w:hAnsi="Perpetua" w:cs="Times New Roman"/>
          <w:sz w:val="20"/>
          <w:szCs w:val="20"/>
        </w:rPr>
        <w:t xml:space="preserve">His most famous work is the </w:t>
      </w:r>
      <w:r w:rsidRPr="00CF3E88">
        <w:rPr>
          <w:rFonts w:ascii="Perpetua" w:eastAsia="Calibri" w:hAnsi="Perpetua" w:cs="Times New Roman"/>
          <w:i/>
          <w:iCs/>
          <w:sz w:val="20"/>
          <w:szCs w:val="20"/>
        </w:rPr>
        <w:t>Book of Promises and Predictions of God</w:t>
      </w:r>
      <w:r w:rsidRPr="00CF3E88">
        <w:rPr>
          <w:rFonts w:ascii="Perpetua" w:eastAsia="Calibri" w:hAnsi="Perpetua" w:cs="Times New Roman"/>
          <w:sz w:val="20"/>
          <w:szCs w:val="20"/>
        </w:rPr>
        <w:t xml:space="preserve">, typically dated around 450 CE. This influential work of interpretation organizes biblical testimonia into three periods: before the law (of Moses), under the law, and under grace. The first two sections present numerous Old Testament figures and events as types of the Christ to come, while the final section argues that many Old Testament prophecies were fulfilled in the New Testament. This story of God’s “promises and predictions” was meant to encourage believers to be confident in God’s future faithfulness in fulfilling the remainder of his promises. It should be noted that his authorship of this work, alongside other treatises and sermons attributed to him, is still questioned by a few scholars. </w:t>
      </w:r>
    </w:p>
    <w:p w14:paraId="141E69EC" w14:textId="77777777" w:rsidR="00CF3E88" w:rsidRPr="00CF3E88" w:rsidRDefault="00CF3E88" w:rsidP="00CF3E88">
      <w:pPr>
        <w:spacing w:after="0" w:line="240" w:lineRule="auto"/>
        <w:ind w:firstLine="432"/>
        <w:jc w:val="both"/>
        <w:rPr>
          <w:rFonts w:ascii="Perpetua" w:eastAsia="Calibri" w:hAnsi="Perpetua" w:cs="Times New Roman"/>
          <w:sz w:val="20"/>
          <w:szCs w:val="20"/>
        </w:rPr>
      </w:pPr>
      <w:r w:rsidRPr="00CF3E88">
        <w:rPr>
          <w:rFonts w:ascii="Perpetua" w:eastAsia="Calibri" w:hAnsi="Perpetua" w:cs="Times New Roman"/>
          <w:sz w:val="20"/>
          <w:szCs w:val="20"/>
        </w:rPr>
        <w:t xml:space="preserve">Quodvultdeus’ death in Naples is commonly dated to 454 CE. He has been identified as a figure in a fifth-century mosaic in the Catacombs of </w:t>
      </w:r>
      <w:r w:rsidRPr="00CF3E88">
        <w:rPr>
          <w:rFonts w:ascii="Perpetua" w:eastAsia="Calibri" w:hAnsi="Perpetua" w:cs="Times New Roman"/>
          <w:color w:val="000000"/>
          <w:sz w:val="20"/>
          <w:szCs w:val="20"/>
          <w:shd w:val="clear" w:color="auto" w:fill="FFFFFF"/>
        </w:rPr>
        <w:t>San Gennaro on the slope of Capodimonte in Naples, which may indicate that he was buried there</w:t>
      </w:r>
      <w:r w:rsidRPr="00CF3E88">
        <w:rPr>
          <w:rFonts w:ascii="Perpetua" w:eastAsia="Calibri" w:hAnsi="Perpetua" w:cs="Times New Roman"/>
          <w:sz w:val="20"/>
          <w:szCs w:val="20"/>
        </w:rPr>
        <w:t>. He also became revered as a saint, for by the ninth century, a feast of St. Quodvultdeus was included in the local liturgical calendar.</w:t>
      </w:r>
    </w:p>
    <w:p w14:paraId="6DD22F2A" w14:textId="7279F64B" w:rsidR="00CF3E88" w:rsidRPr="00CF3E88" w:rsidRDefault="00CF3E88" w:rsidP="00CF3E88">
      <w:pPr>
        <w:spacing w:after="0" w:line="240" w:lineRule="auto"/>
        <w:ind w:firstLine="432"/>
        <w:jc w:val="both"/>
        <w:rPr>
          <w:rFonts w:ascii="Perpetua" w:eastAsia="Calibri" w:hAnsi="Perpetua" w:cs="Times New Roman"/>
          <w:sz w:val="20"/>
          <w:szCs w:val="20"/>
        </w:rPr>
      </w:pPr>
      <w:r w:rsidRPr="00CF3E88">
        <w:rPr>
          <w:rFonts w:ascii="Perpetua" w:eastAsia="Calibri" w:hAnsi="Perpetua" w:cs="Times New Roman"/>
          <w:sz w:val="20"/>
          <w:szCs w:val="20"/>
        </w:rPr>
        <w:t xml:space="preserve">Quodvultdeus disappeared from history for many centuries. Until the early </w:t>
      </w:r>
      <w:r>
        <w:rPr>
          <w:rFonts w:ascii="Perpetua" w:eastAsia="Calibri" w:hAnsi="Perpetua" w:cs="Times New Roman"/>
          <w:sz w:val="20"/>
          <w:szCs w:val="20"/>
        </w:rPr>
        <w:t>eighteenth</w:t>
      </w:r>
      <w:r w:rsidRPr="00CF3E88">
        <w:rPr>
          <w:rFonts w:ascii="Perpetua" w:eastAsia="Calibri" w:hAnsi="Perpetua" w:cs="Times New Roman"/>
          <w:sz w:val="20"/>
          <w:szCs w:val="20"/>
        </w:rPr>
        <w:t xml:space="preserve"> century, the </w:t>
      </w:r>
      <w:r w:rsidRPr="00CF3E88">
        <w:rPr>
          <w:rFonts w:ascii="Perpetua" w:eastAsia="Calibri" w:hAnsi="Perpetua" w:cs="Times New Roman"/>
          <w:i/>
          <w:iCs/>
          <w:sz w:val="20"/>
          <w:szCs w:val="20"/>
        </w:rPr>
        <w:t>Book of Promises and Predictions of God</w:t>
      </w:r>
      <w:r w:rsidRPr="00CF3E88">
        <w:rPr>
          <w:rFonts w:ascii="Perpetua" w:eastAsia="Calibri" w:hAnsi="Perpetua" w:cs="Times New Roman"/>
          <w:sz w:val="20"/>
          <w:szCs w:val="20"/>
        </w:rPr>
        <w:t xml:space="preserve"> was incorrectly attributed to Prosper of Aquitaine. Similarly, his close association with Augustine led to a number of his works being attributed initially to Augustine, then later to Pseudo-Augustine. Careful work by textual critics in the </w:t>
      </w:r>
      <w:r>
        <w:rPr>
          <w:rFonts w:ascii="Perpetua" w:eastAsia="Calibri" w:hAnsi="Perpetua" w:cs="Times New Roman"/>
          <w:sz w:val="20"/>
          <w:szCs w:val="20"/>
        </w:rPr>
        <w:t>twentieth</w:t>
      </w:r>
      <w:r w:rsidRPr="00CF3E88">
        <w:rPr>
          <w:rFonts w:ascii="Perpetua" w:eastAsia="Calibri" w:hAnsi="Perpetua" w:cs="Times New Roman"/>
          <w:sz w:val="20"/>
          <w:szCs w:val="20"/>
        </w:rPr>
        <w:t xml:space="preserve"> century at last restored Quodvultdeus to his rightful place as a significant author of the period. He was a prolific writer and addressed a wide range of theological and pastoral concerns. Some historians have suggested that if Augustine was the North African church’s great theologian of the fifth century, then Quodvultdeus was its great pastor in a period of uncertainty and upheaval. His unwavering commitment to the Nicene Creed and his fearless defense of orthodox Christianity in the face of great danger have earned him a lasting legacy in the annals of Christian history.</w:t>
      </w:r>
    </w:p>
    <w:p w14:paraId="33685372" w14:textId="77777777" w:rsidR="00CF3E88" w:rsidRPr="00CF3E88" w:rsidRDefault="00CF3E88" w:rsidP="00CF3E88">
      <w:pPr>
        <w:spacing w:after="0" w:line="240" w:lineRule="auto"/>
        <w:jc w:val="both"/>
        <w:rPr>
          <w:rFonts w:ascii="Perpetua" w:eastAsia="Calibri" w:hAnsi="Perpetua" w:cs="Times New Roman"/>
          <w:sz w:val="20"/>
          <w:szCs w:val="20"/>
        </w:rPr>
      </w:pPr>
    </w:p>
    <w:p w14:paraId="4456198D" w14:textId="77777777" w:rsidR="00CF3E88" w:rsidRPr="00CF3E88" w:rsidRDefault="00CF3E88" w:rsidP="00CF3E88">
      <w:pPr>
        <w:spacing w:after="0" w:line="240" w:lineRule="auto"/>
        <w:jc w:val="both"/>
        <w:rPr>
          <w:rFonts w:ascii="Perpetua" w:eastAsia="Calibri" w:hAnsi="Perpetua" w:cs="Times New Roman"/>
          <w:sz w:val="20"/>
          <w:szCs w:val="20"/>
        </w:rPr>
      </w:pPr>
      <w:r w:rsidRPr="00CF3E88">
        <w:rPr>
          <w:rFonts w:ascii="Perpetua" w:eastAsia="Calibri" w:hAnsi="Perpetua" w:cs="Times New Roman"/>
          <w:sz w:val="20"/>
          <w:szCs w:val="20"/>
        </w:rPr>
        <w:t>David L. Eastman</w:t>
      </w:r>
    </w:p>
    <w:p w14:paraId="361F0799" w14:textId="77777777" w:rsidR="00CF3E88" w:rsidRPr="00CF3E88" w:rsidRDefault="00CF3E88" w:rsidP="00CF3E88">
      <w:pPr>
        <w:spacing w:after="0" w:line="240" w:lineRule="auto"/>
        <w:jc w:val="both"/>
        <w:rPr>
          <w:rFonts w:ascii="Perpetua" w:eastAsia="Calibri" w:hAnsi="Perpetua" w:cs="Times New Roman"/>
          <w:sz w:val="20"/>
          <w:szCs w:val="20"/>
        </w:rPr>
      </w:pPr>
    </w:p>
    <w:p w14:paraId="5F733619" w14:textId="77777777" w:rsidR="00CF3E88" w:rsidRPr="00CF3E88" w:rsidRDefault="00CF3E88" w:rsidP="00CF3E88">
      <w:pPr>
        <w:spacing w:after="0" w:line="240" w:lineRule="auto"/>
        <w:jc w:val="both"/>
        <w:rPr>
          <w:rFonts w:ascii="Perpetua" w:eastAsia="Calibri" w:hAnsi="Perpetua" w:cs="Times New Roman"/>
          <w:sz w:val="20"/>
          <w:szCs w:val="20"/>
        </w:rPr>
      </w:pPr>
    </w:p>
    <w:p w14:paraId="61EF3BCA" w14:textId="77777777" w:rsidR="00CF3E88" w:rsidRPr="00CF3E88" w:rsidRDefault="00CF3E88" w:rsidP="00CF3E88">
      <w:pPr>
        <w:spacing w:after="0" w:line="240" w:lineRule="auto"/>
        <w:jc w:val="both"/>
        <w:rPr>
          <w:rFonts w:ascii="Perpetua" w:eastAsia="Calibri" w:hAnsi="Perpetua" w:cs="Times New Roman"/>
          <w:b/>
          <w:bCs/>
          <w:sz w:val="20"/>
          <w:szCs w:val="20"/>
        </w:rPr>
      </w:pPr>
      <w:r w:rsidRPr="00CF3E88">
        <w:rPr>
          <w:rFonts w:ascii="Perpetua" w:eastAsia="Calibri" w:hAnsi="Perpetua" w:cs="Times New Roman"/>
          <w:b/>
          <w:bCs/>
          <w:sz w:val="20"/>
          <w:szCs w:val="20"/>
        </w:rPr>
        <w:t xml:space="preserve">Bibliography: </w:t>
      </w:r>
    </w:p>
    <w:p w14:paraId="31D5A500" w14:textId="77777777" w:rsidR="00CF3E88" w:rsidRPr="00CF3E88" w:rsidRDefault="00CF3E88" w:rsidP="00CF3E88">
      <w:pPr>
        <w:spacing w:after="0" w:line="240" w:lineRule="auto"/>
        <w:jc w:val="both"/>
        <w:rPr>
          <w:rFonts w:ascii="Perpetua" w:eastAsia="Calibri" w:hAnsi="Perpetua" w:cs="Times New Roman"/>
          <w:sz w:val="20"/>
          <w:szCs w:val="20"/>
        </w:rPr>
      </w:pPr>
    </w:p>
    <w:p w14:paraId="6C27CB10" w14:textId="77777777" w:rsidR="00CF3E88" w:rsidRPr="00CF3E88" w:rsidRDefault="00CF3E88" w:rsidP="00CF3E88">
      <w:pPr>
        <w:spacing w:after="0" w:line="240" w:lineRule="auto"/>
        <w:ind w:left="432" w:hanging="432"/>
        <w:jc w:val="both"/>
        <w:rPr>
          <w:rFonts w:ascii="Perpetua" w:eastAsia="Calibri" w:hAnsi="Perpetua" w:cs="Times New Roman"/>
          <w:sz w:val="20"/>
          <w:szCs w:val="20"/>
        </w:rPr>
      </w:pPr>
      <w:r w:rsidRPr="00CF3E88">
        <w:rPr>
          <w:rFonts w:ascii="Perpetua" w:eastAsia="Calibri" w:hAnsi="Perpetua" w:cs="Times New Roman"/>
          <w:sz w:val="20"/>
          <w:szCs w:val="20"/>
        </w:rPr>
        <w:t xml:space="preserve">Braun René. 1964. </w:t>
      </w:r>
      <w:r w:rsidRPr="00CF3E88">
        <w:rPr>
          <w:rFonts w:ascii="Perpetua" w:eastAsia="Calibri" w:hAnsi="Perpetua" w:cs="Times New Roman"/>
          <w:i/>
          <w:iCs/>
          <w:sz w:val="20"/>
          <w:szCs w:val="20"/>
          <w:lang w:val="fr-CA"/>
        </w:rPr>
        <w:t>Quodvultdeus</w:t>
      </w:r>
      <w:r w:rsidRPr="00CF3E88">
        <w:rPr>
          <w:rFonts w:ascii="Times New Roman" w:eastAsia="Calibri" w:hAnsi="Times New Roman" w:cs="Times New Roman"/>
          <w:i/>
          <w:iCs/>
          <w:sz w:val="20"/>
          <w:szCs w:val="20"/>
          <w:lang w:val="fr-CA"/>
        </w:rPr>
        <w:t> </w:t>
      </w:r>
      <w:r w:rsidRPr="00CF3E88">
        <w:rPr>
          <w:rFonts w:ascii="Perpetua" w:eastAsia="Calibri" w:hAnsi="Perpetua" w:cs="Times New Roman"/>
          <w:i/>
          <w:iCs/>
          <w:sz w:val="20"/>
          <w:szCs w:val="20"/>
          <w:lang w:val="fr-CA"/>
        </w:rPr>
        <w:t>: Livre Des Promesses Et Des Pr</w:t>
      </w:r>
      <w:r w:rsidRPr="00CF3E88">
        <w:rPr>
          <w:rFonts w:ascii="Perpetua" w:eastAsia="Calibri" w:hAnsi="Perpetua" w:cs="Perpetua"/>
          <w:i/>
          <w:iCs/>
          <w:sz w:val="20"/>
          <w:szCs w:val="20"/>
          <w:lang w:val="fr-CA"/>
        </w:rPr>
        <w:t>é</w:t>
      </w:r>
      <w:r w:rsidRPr="00CF3E88">
        <w:rPr>
          <w:rFonts w:ascii="Perpetua" w:eastAsia="Calibri" w:hAnsi="Perpetua" w:cs="Times New Roman"/>
          <w:i/>
          <w:iCs/>
          <w:sz w:val="20"/>
          <w:szCs w:val="20"/>
          <w:lang w:val="fr-CA"/>
        </w:rPr>
        <w:t>dictions De Dieu</w:t>
      </w:r>
      <w:r w:rsidRPr="00CF3E88">
        <w:rPr>
          <w:rFonts w:ascii="Perpetua" w:eastAsia="Calibri" w:hAnsi="Perpetua" w:cs="Times New Roman"/>
          <w:sz w:val="20"/>
          <w:szCs w:val="20"/>
          <w:lang w:val="fr-CA"/>
        </w:rPr>
        <w:t xml:space="preserve">. </w:t>
      </w:r>
      <w:r w:rsidRPr="00CF3E88">
        <w:rPr>
          <w:rFonts w:ascii="Perpetua" w:eastAsia="Calibri" w:hAnsi="Perpetua" w:cs="Times New Roman"/>
          <w:sz w:val="20"/>
          <w:szCs w:val="20"/>
        </w:rPr>
        <w:t>Paris: Ed. du Cerf.</w:t>
      </w:r>
    </w:p>
    <w:p w14:paraId="4DA60B64" w14:textId="77777777" w:rsidR="00CF3E88" w:rsidRPr="00CF3E88" w:rsidRDefault="00CF3E88" w:rsidP="00CF3E88">
      <w:pPr>
        <w:spacing w:after="0" w:line="240" w:lineRule="auto"/>
        <w:ind w:left="432" w:hanging="432"/>
        <w:jc w:val="both"/>
        <w:rPr>
          <w:rFonts w:ascii="Perpetua" w:eastAsia="Calibri" w:hAnsi="Perpetua" w:cs="Times New Roman"/>
          <w:sz w:val="20"/>
          <w:szCs w:val="20"/>
        </w:rPr>
      </w:pPr>
      <w:r w:rsidRPr="00CF3E88">
        <w:rPr>
          <w:rFonts w:ascii="Perpetua" w:eastAsia="Calibri" w:hAnsi="Perpetua" w:cs="Times New Roman"/>
          <w:sz w:val="20"/>
          <w:szCs w:val="20"/>
        </w:rPr>
        <w:t xml:space="preserve">Quodvultdeus Quodvultdeus and Thomas M Finn. 2004. </w:t>
      </w:r>
      <w:r w:rsidRPr="00CF3E88">
        <w:rPr>
          <w:rFonts w:ascii="Perpetua" w:eastAsia="Calibri" w:hAnsi="Perpetua" w:cs="Times New Roman"/>
          <w:i/>
          <w:iCs/>
          <w:sz w:val="20"/>
          <w:szCs w:val="20"/>
        </w:rPr>
        <w:t>Quodvultdeus of Carthage</w:t>
      </w:r>
      <w:r w:rsidRPr="00CF3E88">
        <w:rPr>
          <w:rFonts w:ascii="Times New Roman" w:eastAsia="Calibri" w:hAnsi="Times New Roman" w:cs="Times New Roman"/>
          <w:i/>
          <w:iCs/>
          <w:sz w:val="20"/>
          <w:szCs w:val="20"/>
        </w:rPr>
        <w:t> </w:t>
      </w:r>
      <w:r w:rsidRPr="00CF3E88">
        <w:rPr>
          <w:rFonts w:ascii="Perpetua" w:eastAsia="Calibri" w:hAnsi="Perpetua" w:cs="Times New Roman"/>
          <w:i/>
          <w:iCs/>
          <w:sz w:val="20"/>
          <w:szCs w:val="20"/>
        </w:rPr>
        <w:t>: The Creedal Homilies</w:t>
      </w:r>
      <w:r w:rsidRPr="00CF3E88">
        <w:rPr>
          <w:rFonts w:ascii="Times New Roman" w:eastAsia="Calibri" w:hAnsi="Times New Roman" w:cs="Times New Roman"/>
          <w:i/>
          <w:iCs/>
          <w:sz w:val="20"/>
          <w:szCs w:val="20"/>
        </w:rPr>
        <w:t> </w:t>
      </w:r>
      <w:r w:rsidRPr="00CF3E88">
        <w:rPr>
          <w:rFonts w:ascii="Perpetua" w:eastAsia="Calibri" w:hAnsi="Perpetua" w:cs="Times New Roman"/>
          <w:i/>
          <w:iCs/>
          <w:sz w:val="20"/>
          <w:szCs w:val="20"/>
        </w:rPr>
        <w:t>: Conversion in Fifth-Century North Africa</w:t>
      </w:r>
      <w:r w:rsidRPr="00CF3E88">
        <w:rPr>
          <w:rFonts w:ascii="Perpetua" w:eastAsia="Calibri" w:hAnsi="Perpetua" w:cs="Times New Roman"/>
          <w:sz w:val="20"/>
          <w:szCs w:val="20"/>
        </w:rPr>
        <w:t>. New York: Newman Press.</w:t>
      </w:r>
    </w:p>
    <w:p w14:paraId="760FC86D" w14:textId="77777777" w:rsidR="00CF3E88" w:rsidRPr="00CF3E88" w:rsidRDefault="00CF3E88" w:rsidP="00CF3E88">
      <w:pPr>
        <w:spacing w:after="0" w:line="240" w:lineRule="auto"/>
        <w:ind w:left="432" w:hanging="432"/>
        <w:jc w:val="both"/>
        <w:rPr>
          <w:rFonts w:ascii="Perpetua" w:eastAsia="Calibri" w:hAnsi="Perpetua" w:cs="Times New Roman"/>
          <w:sz w:val="20"/>
          <w:szCs w:val="20"/>
        </w:rPr>
      </w:pPr>
    </w:p>
    <w:p w14:paraId="5688FA47" w14:textId="77777777" w:rsidR="00CF3E88" w:rsidRPr="00CF3E88" w:rsidRDefault="00CF3E88" w:rsidP="00CF3E88">
      <w:pPr>
        <w:spacing w:after="0" w:line="240" w:lineRule="auto"/>
        <w:ind w:left="432" w:hanging="432"/>
        <w:jc w:val="both"/>
        <w:rPr>
          <w:rFonts w:ascii="Perpetua" w:eastAsia="Calibri" w:hAnsi="Perpetua" w:cs="Times New Roman"/>
          <w:b/>
          <w:bCs/>
          <w:i/>
          <w:iCs/>
          <w:sz w:val="20"/>
          <w:szCs w:val="20"/>
        </w:rPr>
      </w:pPr>
      <w:r w:rsidRPr="00CF3E88">
        <w:rPr>
          <w:rFonts w:ascii="Perpetua" w:eastAsia="Calibri" w:hAnsi="Perpetua" w:cs="Times New Roman"/>
          <w:b/>
          <w:bCs/>
          <w:i/>
          <w:iCs/>
          <w:sz w:val="20"/>
          <w:szCs w:val="20"/>
        </w:rPr>
        <w:t xml:space="preserve">Secondary Literature: </w:t>
      </w:r>
    </w:p>
    <w:p w14:paraId="5FF65939" w14:textId="77777777" w:rsidR="00CF3E88" w:rsidRPr="00CF3E88" w:rsidRDefault="00CF3E88" w:rsidP="00CF3E88">
      <w:pPr>
        <w:spacing w:after="0" w:line="240" w:lineRule="auto"/>
        <w:ind w:left="432" w:hanging="432"/>
        <w:jc w:val="both"/>
        <w:rPr>
          <w:rFonts w:ascii="Perpetua" w:eastAsia="Calibri" w:hAnsi="Perpetua" w:cs="Times New Roman"/>
          <w:sz w:val="20"/>
          <w:szCs w:val="20"/>
        </w:rPr>
      </w:pPr>
    </w:p>
    <w:p w14:paraId="08C9BAF9" w14:textId="77777777" w:rsidR="00CF3E88" w:rsidRPr="00CF3E88" w:rsidRDefault="00CF3E88" w:rsidP="00CF3E88">
      <w:pPr>
        <w:spacing w:after="0" w:line="240" w:lineRule="auto"/>
        <w:ind w:left="432" w:hanging="432"/>
        <w:jc w:val="both"/>
        <w:rPr>
          <w:rFonts w:ascii="Perpetua" w:eastAsia="Calibri" w:hAnsi="Perpetua" w:cs="Times New Roman"/>
          <w:sz w:val="20"/>
          <w:szCs w:val="20"/>
        </w:rPr>
      </w:pPr>
      <w:r w:rsidRPr="00CF3E88">
        <w:rPr>
          <w:rFonts w:ascii="Perpetua" w:eastAsia="Calibri" w:hAnsi="Perpetua" w:cs="Times New Roman"/>
          <w:sz w:val="20"/>
          <w:szCs w:val="20"/>
        </w:rPr>
        <w:lastRenderedPageBreak/>
        <w:t>D’Ovidio, Stefano. 2013. “Devotion and Memory</w:t>
      </w:r>
      <w:r w:rsidRPr="00CF3E88">
        <w:rPr>
          <w:rFonts w:ascii="Times New Roman" w:eastAsia="Calibri" w:hAnsi="Times New Roman" w:cs="Times New Roman"/>
          <w:sz w:val="20"/>
          <w:szCs w:val="20"/>
        </w:rPr>
        <w:t> </w:t>
      </w:r>
      <w:r w:rsidRPr="00CF3E88">
        <w:rPr>
          <w:rFonts w:ascii="Perpetua" w:eastAsia="Calibri" w:hAnsi="Perpetua" w:cs="Times New Roman"/>
          <w:sz w:val="20"/>
          <w:szCs w:val="20"/>
        </w:rPr>
        <w:t>: Episcopal Portraits in the Catacombs of San Gennaro in Naples.</w:t>
      </w:r>
      <w:r w:rsidRPr="00CF3E88">
        <w:rPr>
          <w:rFonts w:ascii="Perpetua" w:eastAsia="Calibri" w:hAnsi="Perpetua" w:cs="Perpetua"/>
          <w:sz w:val="20"/>
          <w:szCs w:val="20"/>
        </w:rPr>
        <w:t>”</w:t>
      </w:r>
      <w:r w:rsidRPr="00CF3E88">
        <w:rPr>
          <w:rFonts w:ascii="Perpetua" w:eastAsia="Calibri" w:hAnsi="Perpetua" w:cs="Times New Roman"/>
          <w:sz w:val="20"/>
          <w:szCs w:val="20"/>
        </w:rPr>
        <w:t xml:space="preserve"> </w:t>
      </w:r>
      <w:r w:rsidRPr="00CF3E88">
        <w:rPr>
          <w:rFonts w:ascii="Perpetua" w:eastAsia="Calibri" w:hAnsi="Perpetua" w:cs="Times New Roman"/>
          <w:i/>
          <w:iCs/>
          <w:sz w:val="20"/>
          <w:szCs w:val="20"/>
        </w:rPr>
        <w:t>Face of the Dead and the Early Christian World / Ed. by Ivan Foletti with the Collaboration of Alžbe</w:t>
      </w:r>
      <w:r w:rsidRPr="00CF3E88">
        <w:rPr>
          <w:rFonts w:ascii="Times New Roman" w:eastAsia="Calibri" w:hAnsi="Times New Roman" w:cs="Times New Roman"/>
          <w:i/>
          <w:iCs/>
          <w:sz w:val="20"/>
          <w:szCs w:val="20"/>
        </w:rPr>
        <w:t>̌</w:t>
      </w:r>
      <w:r w:rsidRPr="00CF3E88">
        <w:rPr>
          <w:rFonts w:ascii="Perpetua" w:eastAsia="Calibri" w:hAnsi="Perpetua" w:cs="Times New Roman"/>
          <w:i/>
          <w:iCs/>
          <w:sz w:val="20"/>
          <w:szCs w:val="20"/>
        </w:rPr>
        <w:t>ta Filipov</w:t>
      </w:r>
      <w:r w:rsidRPr="00CF3E88">
        <w:rPr>
          <w:rFonts w:ascii="Perpetua" w:eastAsia="Calibri" w:hAnsi="Perpetua" w:cs="Perpetua"/>
          <w:i/>
          <w:iCs/>
          <w:sz w:val="20"/>
          <w:szCs w:val="20"/>
        </w:rPr>
        <w:t>á,</w:t>
      </w:r>
      <w:r w:rsidRPr="00CF3E88">
        <w:rPr>
          <w:rFonts w:ascii="Perpetua" w:eastAsia="Calibri" w:hAnsi="Perpetua" w:cs="Times New Roman"/>
          <w:sz w:val="20"/>
          <w:szCs w:val="20"/>
        </w:rPr>
        <w:t xml:space="preserve"> 85–106.</w:t>
      </w:r>
    </w:p>
    <w:p w14:paraId="3E169F13" w14:textId="77777777" w:rsidR="00CF3E88" w:rsidRPr="00CF3E88" w:rsidRDefault="00CF3E88" w:rsidP="00CF3E88">
      <w:pPr>
        <w:spacing w:after="0" w:line="240" w:lineRule="auto"/>
        <w:ind w:left="432" w:hanging="432"/>
        <w:jc w:val="both"/>
        <w:rPr>
          <w:rFonts w:ascii="Perpetua" w:eastAsia="Calibri" w:hAnsi="Perpetua" w:cs="Times New Roman"/>
          <w:sz w:val="20"/>
          <w:szCs w:val="20"/>
        </w:rPr>
      </w:pPr>
      <w:r w:rsidRPr="00CF3E88">
        <w:rPr>
          <w:rFonts w:ascii="Perpetua" w:eastAsia="Calibri" w:hAnsi="Perpetua" w:cs="Times New Roman"/>
          <w:sz w:val="20"/>
          <w:szCs w:val="20"/>
        </w:rPr>
        <w:t>Kalkman Richard G and Quodvultdeus Quodvultdeus. 1963-1964. “Two Sermons: De Tempore Barbarico Attributed to St. Quodvultdeus Bishop of Carthage</w:t>
      </w:r>
      <w:r w:rsidRPr="00CF3E88">
        <w:rPr>
          <w:rFonts w:ascii="Times New Roman" w:eastAsia="Calibri" w:hAnsi="Times New Roman" w:cs="Times New Roman"/>
          <w:sz w:val="20"/>
          <w:szCs w:val="20"/>
        </w:rPr>
        <w:t> </w:t>
      </w:r>
      <w:r w:rsidRPr="00CF3E88">
        <w:rPr>
          <w:rFonts w:ascii="Perpetua" w:eastAsia="Calibri" w:hAnsi="Perpetua" w:cs="Times New Roman"/>
          <w:sz w:val="20"/>
          <w:szCs w:val="20"/>
        </w:rPr>
        <w:t>: A Study of Text and Attribution with Translation and Commentary.</w:t>
      </w:r>
      <w:r w:rsidRPr="00CF3E88">
        <w:rPr>
          <w:rFonts w:ascii="Perpetua" w:eastAsia="Calibri" w:hAnsi="Perpetua" w:cs="Perpetua"/>
          <w:sz w:val="20"/>
          <w:szCs w:val="20"/>
        </w:rPr>
        <w:t>”</w:t>
      </w:r>
      <w:r w:rsidRPr="00CF3E88">
        <w:rPr>
          <w:rFonts w:ascii="Perpetua" w:eastAsia="Calibri" w:hAnsi="Perpetua" w:cs="Times New Roman"/>
          <w:sz w:val="20"/>
          <w:szCs w:val="20"/>
        </w:rPr>
        <w:t xml:space="preserve"> Dissertation. Catholic University of America.</w:t>
      </w:r>
    </w:p>
    <w:p w14:paraId="04E173B9" w14:textId="77777777" w:rsidR="00CF3E88" w:rsidRPr="00CF3E88" w:rsidRDefault="00CF3E88" w:rsidP="00CF3E88">
      <w:pPr>
        <w:spacing w:after="0" w:line="240" w:lineRule="auto"/>
        <w:ind w:left="432" w:hanging="432"/>
        <w:jc w:val="both"/>
        <w:rPr>
          <w:rFonts w:ascii="Perpetua" w:eastAsia="Calibri" w:hAnsi="Perpetua" w:cs="Times New Roman"/>
          <w:sz w:val="20"/>
          <w:szCs w:val="20"/>
        </w:rPr>
      </w:pPr>
      <w:r w:rsidRPr="00CF3E88">
        <w:rPr>
          <w:rFonts w:ascii="Perpetua" w:eastAsia="Calibri" w:hAnsi="Perpetua" w:cs="Times New Roman"/>
          <w:sz w:val="20"/>
          <w:szCs w:val="20"/>
        </w:rPr>
        <w:t xml:space="preserve">Van Slyke, Daniel. 2003. </w:t>
      </w:r>
      <w:r w:rsidRPr="00CF3E88">
        <w:rPr>
          <w:rFonts w:ascii="Perpetua" w:eastAsia="Calibri" w:hAnsi="Perpetua" w:cs="Times New Roman"/>
          <w:i/>
          <w:iCs/>
          <w:sz w:val="20"/>
          <w:szCs w:val="20"/>
        </w:rPr>
        <w:t>Quodvultdeus of Carthage</w:t>
      </w:r>
      <w:r w:rsidRPr="00CF3E88">
        <w:rPr>
          <w:rFonts w:ascii="Times New Roman" w:eastAsia="Calibri" w:hAnsi="Times New Roman" w:cs="Times New Roman"/>
          <w:i/>
          <w:iCs/>
          <w:sz w:val="20"/>
          <w:szCs w:val="20"/>
        </w:rPr>
        <w:t> </w:t>
      </w:r>
      <w:r w:rsidRPr="00CF3E88">
        <w:rPr>
          <w:rFonts w:ascii="Perpetua" w:eastAsia="Calibri" w:hAnsi="Perpetua" w:cs="Times New Roman"/>
          <w:i/>
          <w:iCs/>
          <w:sz w:val="20"/>
          <w:szCs w:val="20"/>
        </w:rPr>
        <w:t>: The Apocalyptic Theology of a Roman African in Exile</w:t>
      </w:r>
      <w:r w:rsidRPr="00CF3E88">
        <w:rPr>
          <w:rFonts w:ascii="Perpetua" w:eastAsia="Calibri" w:hAnsi="Perpetua" w:cs="Times New Roman"/>
          <w:sz w:val="20"/>
          <w:szCs w:val="20"/>
        </w:rPr>
        <w:t>. Strathfield Australia: St. Pauls.</w:t>
      </w:r>
    </w:p>
    <w:p w14:paraId="58212F30" w14:textId="77777777" w:rsidR="00CF3E88" w:rsidRPr="00CF3E88" w:rsidRDefault="00CF3E88" w:rsidP="00CF3E88">
      <w:pPr>
        <w:spacing w:after="0" w:line="240" w:lineRule="auto"/>
        <w:ind w:left="432" w:hanging="432"/>
        <w:jc w:val="both"/>
        <w:rPr>
          <w:rFonts w:ascii="Perpetua" w:eastAsia="Calibri" w:hAnsi="Perpetua" w:cs="Times New Roman"/>
          <w:sz w:val="20"/>
          <w:szCs w:val="20"/>
        </w:rPr>
      </w:pPr>
      <w:r w:rsidRPr="00CF3E88">
        <w:rPr>
          <w:rFonts w:ascii="Perpetua" w:eastAsia="Calibri" w:hAnsi="Perpetua" w:cs="Times New Roman"/>
          <w:sz w:val="20"/>
          <w:szCs w:val="20"/>
        </w:rPr>
        <w:t>Vop</w:t>
      </w:r>
      <w:r w:rsidRPr="00CF3E88">
        <w:rPr>
          <w:rFonts w:ascii="Cambria" w:eastAsia="Calibri" w:hAnsi="Cambria" w:cs="Cambria"/>
          <w:sz w:val="20"/>
          <w:szCs w:val="20"/>
        </w:rPr>
        <w:t>ř</w:t>
      </w:r>
      <w:r w:rsidRPr="00CF3E88">
        <w:rPr>
          <w:rFonts w:ascii="Perpetua" w:eastAsia="Calibri" w:hAnsi="Perpetua" w:cs="Times New Roman"/>
          <w:sz w:val="20"/>
          <w:szCs w:val="20"/>
        </w:rPr>
        <w:t xml:space="preserve">ada, David. 2020. </w:t>
      </w:r>
      <w:r w:rsidRPr="00CF3E88">
        <w:rPr>
          <w:rFonts w:ascii="Perpetua" w:eastAsia="Calibri" w:hAnsi="Perpetua" w:cs="Times New Roman"/>
          <w:i/>
          <w:iCs/>
          <w:sz w:val="20"/>
          <w:szCs w:val="20"/>
        </w:rPr>
        <w:t>Quodvultdeus</w:t>
      </w:r>
      <w:r w:rsidRPr="00CF3E88">
        <w:rPr>
          <w:rFonts w:ascii="Times New Roman" w:eastAsia="Calibri" w:hAnsi="Times New Roman" w:cs="Times New Roman"/>
          <w:i/>
          <w:iCs/>
          <w:sz w:val="20"/>
          <w:szCs w:val="20"/>
        </w:rPr>
        <w:t> </w:t>
      </w:r>
      <w:r w:rsidRPr="00CF3E88">
        <w:rPr>
          <w:rFonts w:ascii="Perpetua" w:eastAsia="Calibri" w:hAnsi="Perpetua" w:cs="Times New Roman"/>
          <w:i/>
          <w:iCs/>
          <w:sz w:val="20"/>
          <w:szCs w:val="20"/>
        </w:rPr>
        <w:t>: A Bishop Forming Christians in Vandal Africa</w:t>
      </w:r>
      <w:r w:rsidRPr="00CF3E88">
        <w:rPr>
          <w:rFonts w:ascii="Times New Roman" w:eastAsia="Calibri" w:hAnsi="Times New Roman" w:cs="Times New Roman"/>
          <w:i/>
          <w:iCs/>
          <w:sz w:val="20"/>
          <w:szCs w:val="20"/>
        </w:rPr>
        <w:t> </w:t>
      </w:r>
      <w:r w:rsidRPr="00CF3E88">
        <w:rPr>
          <w:rFonts w:ascii="Perpetua" w:eastAsia="Calibri" w:hAnsi="Perpetua" w:cs="Times New Roman"/>
          <w:i/>
          <w:iCs/>
          <w:sz w:val="20"/>
          <w:szCs w:val="20"/>
        </w:rPr>
        <w:t>: A Contextual Analysis of the Pre-Baptismal Sermons Attributed to Quodvultdeus of Carthage</w:t>
      </w:r>
      <w:r w:rsidRPr="00CF3E88">
        <w:rPr>
          <w:rFonts w:ascii="Perpetua" w:eastAsia="Calibri" w:hAnsi="Perpetua" w:cs="Times New Roman"/>
          <w:sz w:val="20"/>
          <w:szCs w:val="20"/>
        </w:rPr>
        <w:t>. Leiden: Brill.</w:t>
      </w:r>
    </w:p>
    <w:p w14:paraId="0C1C1A02" w14:textId="77777777" w:rsidR="00CF3E88" w:rsidRPr="00CF3E88" w:rsidRDefault="00CF3E88" w:rsidP="00CF3E88">
      <w:pPr>
        <w:spacing w:after="0" w:line="240" w:lineRule="auto"/>
        <w:jc w:val="both"/>
        <w:rPr>
          <w:rFonts w:ascii="Perpetua" w:eastAsia="Calibri" w:hAnsi="Perpetua" w:cs="Times New Roman"/>
          <w:sz w:val="20"/>
          <w:szCs w:val="20"/>
        </w:rPr>
      </w:pPr>
    </w:p>
    <w:p w14:paraId="2D1E82D6" w14:textId="77777777" w:rsidR="00CF3E88" w:rsidRPr="00CF3E88" w:rsidRDefault="00CF3E88" w:rsidP="00CF3E88">
      <w:pPr>
        <w:spacing w:after="0" w:line="240" w:lineRule="auto"/>
        <w:jc w:val="both"/>
        <w:rPr>
          <w:rFonts w:ascii="Perpetua" w:eastAsia="Calibri" w:hAnsi="Perpetua" w:cs="Times New Roman"/>
          <w:sz w:val="20"/>
          <w:szCs w:val="20"/>
        </w:rPr>
      </w:pPr>
    </w:p>
    <w:p w14:paraId="068E29DB" w14:textId="77777777" w:rsidR="00CF3E88" w:rsidRPr="00CF3E88" w:rsidRDefault="00CF3E88" w:rsidP="00CF3E88">
      <w:pPr>
        <w:spacing w:after="0" w:line="240" w:lineRule="auto"/>
        <w:jc w:val="both"/>
        <w:rPr>
          <w:rFonts w:ascii="Perpetua" w:eastAsia="Calibri" w:hAnsi="Perpetua" w:cs="Times New Roman"/>
          <w:sz w:val="20"/>
          <w:szCs w:val="20"/>
        </w:rPr>
      </w:pPr>
      <w:r w:rsidRPr="00CF3E88">
        <w:rPr>
          <w:rFonts w:ascii="Perpetua" w:eastAsia="Calibri" w:hAnsi="Perpetua" w:cs="Times New Roman"/>
          <w:sz w:val="20"/>
          <w:szCs w:val="20"/>
        </w:rPr>
        <w:t xml:space="preserve">This biography, received in February 2024, was written by Dr. David L. Eastman, Joseph Glenn Sherrill Chair of Bible, The McCallie School; Research Fellow, University of South Africa; Faculty Fellow, Universität Regensburg. It was initially published in the </w:t>
      </w:r>
      <w:r w:rsidRPr="00CF3E88">
        <w:rPr>
          <w:rFonts w:ascii="Perpetua" w:eastAsia="Calibri" w:hAnsi="Perpetua" w:cs="Times New Roman"/>
          <w:i/>
          <w:iCs/>
          <w:sz w:val="20"/>
          <w:szCs w:val="20"/>
        </w:rPr>
        <w:t xml:space="preserve">Journal of African Christian Biography, </w:t>
      </w:r>
      <w:r w:rsidRPr="00CF3E88">
        <w:rPr>
          <w:rFonts w:ascii="Perpetua" w:eastAsia="Calibri" w:hAnsi="Perpetua" w:cs="Times New Roman"/>
          <w:sz w:val="20"/>
          <w:szCs w:val="20"/>
        </w:rPr>
        <w:t xml:space="preserve">Vol. 9, issue 1 (Jan. 2024). </w:t>
      </w:r>
    </w:p>
    <w:p w14:paraId="16E86F6F" w14:textId="77777777" w:rsidR="00CF3E88" w:rsidRPr="00CF3E88" w:rsidRDefault="00CF3E88" w:rsidP="00CF3E88">
      <w:pPr>
        <w:spacing w:after="0" w:line="240" w:lineRule="auto"/>
        <w:jc w:val="both"/>
        <w:rPr>
          <w:rFonts w:ascii="Perpetua" w:eastAsia="Calibri" w:hAnsi="Perpetua" w:cs="Times New Roman"/>
          <w:sz w:val="20"/>
          <w:szCs w:val="20"/>
        </w:rPr>
      </w:pPr>
    </w:p>
    <w:p w14:paraId="51381D76" w14:textId="77777777" w:rsidR="00224E06" w:rsidRDefault="00224E06" w:rsidP="00CF3E88">
      <w:pPr>
        <w:spacing w:after="0" w:line="240" w:lineRule="auto"/>
        <w:jc w:val="both"/>
        <w:rPr>
          <w:rFonts w:ascii="Perpetua" w:eastAsia="Calibri" w:hAnsi="Perpetua" w:cs="Times New Roman"/>
          <w:sz w:val="20"/>
          <w:szCs w:val="20"/>
        </w:rPr>
      </w:pPr>
    </w:p>
    <w:p w14:paraId="47B4A888" w14:textId="4C023C66" w:rsidR="000A711A" w:rsidRDefault="000A711A" w:rsidP="00CF3E88">
      <w:pPr>
        <w:spacing w:after="0" w:line="240" w:lineRule="auto"/>
        <w:jc w:val="both"/>
        <w:rPr>
          <w:rFonts w:ascii="Perpetua" w:eastAsia="Calibri" w:hAnsi="Perpetua" w:cs="Times New Roman"/>
          <w:sz w:val="20"/>
          <w:szCs w:val="20"/>
        </w:rPr>
      </w:pPr>
      <w:r>
        <w:rPr>
          <w:rFonts w:ascii="Perpetua" w:eastAsia="Calibri" w:hAnsi="Perpetua" w:cs="Times New Roman"/>
          <w:sz w:val="20"/>
          <w:szCs w:val="20"/>
        </w:rPr>
        <w:t>_____________________</w:t>
      </w:r>
    </w:p>
    <w:p w14:paraId="3BBF7F00" w14:textId="77777777" w:rsidR="000A711A" w:rsidRDefault="000A711A" w:rsidP="00CF3E88">
      <w:pPr>
        <w:spacing w:after="0" w:line="240" w:lineRule="auto"/>
        <w:jc w:val="both"/>
        <w:rPr>
          <w:rFonts w:ascii="Perpetua" w:eastAsia="Calibri" w:hAnsi="Perpetua" w:cs="Times New Roman"/>
          <w:sz w:val="20"/>
          <w:szCs w:val="20"/>
        </w:rPr>
      </w:pPr>
    </w:p>
    <w:p w14:paraId="29C25C0B" w14:textId="77777777" w:rsidR="000A711A" w:rsidRPr="000A711A" w:rsidRDefault="000A711A" w:rsidP="00A81E76">
      <w:pPr>
        <w:pStyle w:val="Heading2"/>
        <w:rPr>
          <w:rFonts w:eastAsia="Calibri"/>
        </w:rPr>
      </w:pPr>
      <w:bookmarkStart w:id="4" w:name="_Toc158365917"/>
      <w:r w:rsidRPr="000A711A">
        <w:rPr>
          <w:rFonts w:eastAsia="Calibri"/>
        </w:rPr>
        <w:t>Hadrian of Canterbury</w:t>
      </w:r>
      <w:bookmarkEnd w:id="4"/>
    </w:p>
    <w:p w14:paraId="2051D50F" w14:textId="77777777" w:rsidR="000A711A" w:rsidRPr="000A711A" w:rsidRDefault="000A711A" w:rsidP="000A711A">
      <w:pPr>
        <w:spacing w:after="0" w:line="240" w:lineRule="auto"/>
        <w:jc w:val="both"/>
        <w:rPr>
          <w:rFonts w:ascii="Perpetua" w:eastAsia="Calibri" w:hAnsi="Perpetua" w:cs="Times New Roman"/>
          <w:b/>
          <w:bCs/>
          <w:sz w:val="20"/>
          <w:szCs w:val="20"/>
        </w:rPr>
      </w:pPr>
      <w:r w:rsidRPr="000A711A">
        <w:rPr>
          <w:rFonts w:ascii="Perpetua" w:eastAsia="Calibri" w:hAnsi="Perpetua" w:cs="Times New Roman"/>
          <w:b/>
          <w:bCs/>
          <w:sz w:val="20"/>
          <w:szCs w:val="20"/>
        </w:rPr>
        <w:t>b. 630-637 / 709</w:t>
      </w:r>
    </w:p>
    <w:p w14:paraId="7E6769BA" w14:textId="77777777" w:rsidR="000A711A" w:rsidRPr="000A711A" w:rsidRDefault="000A711A" w:rsidP="000A711A">
      <w:pPr>
        <w:spacing w:after="0" w:line="240" w:lineRule="auto"/>
        <w:jc w:val="both"/>
        <w:rPr>
          <w:rFonts w:ascii="Perpetua" w:eastAsia="Calibri" w:hAnsi="Perpetua" w:cs="Times New Roman"/>
          <w:b/>
          <w:bCs/>
          <w:sz w:val="20"/>
          <w:szCs w:val="20"/>
        </w:rPr>
      </w:pPr>
      <w:r w:rsidRPr="000A711A">
        <w:rPr>
          <w:rFonts w:ascii="Perpetua" w:eastAsia="Calibri" w:hAnsi="Perpetua" w:cs="Times New Roman"/>
          <w:b/>
          <w:bCs/>
          <w:sz w:val="20"/>
          <w:szCs w:val="20"/>
        </w:rPr>
        <w:t>Ancient Christian Church</w:t>
      </w:r>
    </w:p>
    <w:p w14:paraId="604FF722" w14:textId="77777777" w:rsidR="000A711A" w:rsidRPr="000A711A" w:rsidRDefault="000A711A" w:rsidP="000A711A">
      <w:pPr>
        <w:spacing w:after="0" w:line="240" w:lineRule="auto"/>
        <w:jc w:val="both"/>
        <w:rPr>
          <w:rFonts w:ascii="Perpetua" w:eastAsia="Calibri" w:hAnsi="Perpetua" w:cs="Times New Roman"/>
          <w:b/>
          <w:bCs/>
          <w:sz w:val="20"/>
          <w:szCs w:val="20"/>
        </w:rPr>
      </w:pPr>
      <w:r w:rsidRPr="000A711A">
        <w:rPr>
          <w:rFonts w:ascii="Perpetua" w:eastAsia="Calibri" w:hAnsi="Perpetua" w:cs="Times New Roman"/>
          <w:b/>
          <w:bCs/>
          <w:sz w:val="20"/>
          <w:szCs w:val="20"/>
        </w:rPr>
        <w:t>Libya</w:t>
      </w:r>
    </w:p>
    <w:p w14:paraId="76C8C936" w14:textId="77777777" w:rsidR="000A711A" w:rsidRPr="000A711A" w:rsidRDefault="000A711A" w:rsidP="000A711A">
      <w:pPr>
        <w:spacing w:after="0" w:line="240" w:lineRule="auto"/>
        <w:jc w:val="both"/>
        <w:rPr>
          <w:rFonts w:ascii="Perpetua" w:eastAsia="Calibri" w:hAnsi="Perpetua" w:cs="Times New Roman"/>
          <w:sz w:val="20"/>
          <w:szCs w:val="20"/>
        </w:rPr>
      </w:pPr>
    </w:p>
    <w:p w14:paraId="0FDC121C" w14:textId="77777777" w:rsidR="000A711A" w:rsidRPr="000A711A" w:rsidRDefault="000A711A" w:rsidP="000A711A">
      <w:pPr>
        <w:spacing w:after="0" w:line="240" w:lineRule="auto"/>
        <w:jc w:val="both"/>
        <w:rPr>
          <w:rFonts w:ascii="Perpetua" w:eastAsia="Calibri" w:hAnsi="Perpetua" w:cs="Times New Roman"/>
          <w:sz w:val="20"/>
          <w:szCs w:val="20"/>
        </w:rPr>
      </w:pPr>
      <w:r w:rsidRPr="000A711A">
        <w:rPr>
          <w:rFonts w:ascii="Perpetua" w:eastAsia="Calibri" w:hAnsi="Perpetua" w:cs="Times New Roman"/>
          <w:sz w:val="20"/>
          <w:szCs w:val="20"/>
        </w:rPr>
        <w:t>A Scholarly Journey from Africa to England</w:t>
      </w:r>
    </w:p>
    <w:p w14:paraId="08AF6875" w14:textId="77777777" w:rsidR="000A711A" w:rsidRPr="000A711A" w:rsidRDefault="000A711A" w:rsidP="000A711A">
      <w:pPr>
        <w:spacing w:after="0" w:line="240" w:lineRule="auto"/>
        <w:jc w:val="both"/>
        <w:rPr>
          <w:rFonts w:ascii="Perpetua" w:eastAsia="Calibri" w:hAnsi="Perpetua" w:cs="Times New Roman"/>
          <w:sz w:val="20"/>
          <w:szCs w:val="20"/>
        </w:rPr>
      </w:pPr>
    </w:p>
    <w:p w14:paraId="4C471164" w14:textId="77777777" w:rsidR="000A711A" w:rsidRPr="000A711A" w:rsidRDefault="000A711A" w:rsidP="000A711A">
      <w:pPr>
        <w:spacing w:after="0" w:line="240" w:lineRule="auto"/>
        <w:jc w:val="both"/>
        <w:rPr>
          <w:rFonts w:ascii="Perpetua" w:eastAsia="Calibri" w:hAnsi="Perpetua" w:cs="Times New Roman"/>
          <w:sz w:val="20"/>
          <w:szCs w:val="20"/>
        </w:rPr>
      </w:pPr>
      <w:r w:rsidRPr="000A711A">
        <w:rPr>
          <w:rFonts w:ascii="Perpetua" w:eastAsia="Calibri" w:hAnsi="Perpetua" w:cs="Times New Roman"/>
          <w:sz w:val="20"/>
          <w:szCs w:val="20"/>
        </w:rPr>
        <w:t>Hadrian of Canterbury, a figure of immense historical significance in the development of the English church. Bede introduces Hadrian with the statement that he was born in Africa (</w:t>
      </w:r>
      <w:r w:rsidRPr="000A711A">
        <w:rPr>
          <w:rFonts w:ascii="Perpetua" w:eastAsia="Calibri" w:hAnsi="Perpetua" w:cs="Times New Roman"/>
          <w:i/>
          <w:sz w:val="20"/>
          <w:szCs w:val="20"/>
        </w:rPr>
        <w:t>uir natione Afir</w:t>
      </w:r>
      <w:r w:rsidRPr="000A711A">
        <w:rPr>
          <w:rFonts w:ascii="Perpetua" w:eastAsia="Calibri" w:hAnsi="Perpetua" w:cs="Times New Roman"/>
          <w:sz w:val="20"/>
          <w:szCs w:val="20"/>
        </w:rPr>
        <w:t xml:space="preserve">). Scholars make the case he was born in the region now known as Libya's Cyrenaica sometime between 630 and 637. His early years were marked by a rich education. </w:t>
      </w:r>
    </w:p>
    <w:p w14:paraId="5D730EB4" w14:textId="77777777" w:rsidR="000A711A" w:rsidRPr="000A711A" w:rsidRDefault="000A711A" w:rsidP="000A711A">
      <w:pPr>
        <w:spacing w:after="0" w:line="240" w:lineRule="auto"/>
        <w:ind w:firstLine="432"/>
        <w:jc w:val="both"/>
        <w:rPr>
          <w:rFonts w:ascii="Perpetua" w:eastAsia="Calibri" w:hAnsi="Perpetua" w:cs="Times New Roman"/>
          <w:sz w:val="20"/>
          <w:szCs w:val="20"/>
        </w:rPr>
      </w:pPr>
      <w:r w:rsidRPr="000A711A">
        <w:rPr>
          <w:rFonts w:ascii="Perpetua" w:eastAsia="Calibri" w:hAnsi="Perpetua" w:cs="Times New Roman"/>
          <w:sz w:val="20"/>
          <w:szCs w:val="20"/>
        </w:rPr>
        <w:t>Life took a dramatic turn for Hadrian when the threat of enslavement loomed over him. In a bid to escape this dire fate, he sought refuge among the Greek community in the Byzantine controlled Naples, Italy (possibly around 644-45.) It was there, near Campania, that he embraced the monastic life, becoming a dedicated monk and diligently delving into the study of Latin, biblical texts, and the patristic traditions.</w:t>
      </w:r>
    </w:p>
    <w:p w14:paraId="22080661" w14:textId="77777777" w:rsidR="000A711A" w:rsidRPr="000A711A" w:rsidRDefault="000A711A" w:rsidP="000A711A">
      <w:pPr>
        <w:spacing w:after="0" w:line="240" w:lineRule="auto"/>
        <w:ind w:firstLine="432"/>
        <w:jc w:val="both"/>
        <w:rPr>
          <w:rFonts w:ascii="Perpetua" w:eastAsia="Calibri" w:hAnsi="Perpetua" w:cs="Times New Roman"/>
          <w:sz w:val="20"/>
          <w:szCs w:val="20"/>
        </w:rPr>
      </w:pPr>
      <w:r w:rsidRPr="000A711A">
        <w:rPr>
          <w:rFonts w:ascii="Perpetua" w:eastAsia="Calibri" w:hAnsi="Perpetua" w:cs="Times New Roman"/>
          <w:sz w:val="20"/>
          <w:szCs w:val="20"/>
        </w:rPr>
        <w:t xml:space="preserve">During Hadrian's time, a devastating epidemic swept through Europe, creating a significant leadership vacuum within the English church. Deusdedit, the Archbishop of Canterbury at the time, had passed away, and Wighard, a priest with administrative experience, was sent to Rome to be consecrated as the new Archbishop. Tragically, </w:t>
      </w:r>
      <w:r w:rsidRPr="000A711A">
        <w:rPr>
          <w:rFonts w:ascii="Perpetua" w:eastAsia="Calibri" w:hAnsi="Perpetua" w:cs="Times New Roman"/>
          <w:sz w:val="20"/>
          <w:szCs w:val="20"/>
        </w:rPr>
        <w:lastRenderedPageBreak/>
        <w:t>Wighard died (possibly of the plague) shortly after his arrival in Rome, leaving the position vacant.</w:t>
      </w:r>
    </w:p>
    <w:p w14:paraId="28E97BCD" w14:textId="77777777" w:rsidR="000A711A" w:rsidRPr="000A711A" w:rsidRDefault="000A711A" w:rsidP="000A711A">
      <w:pPr>
        <w:spacing w:after="0" w:line="240" w:lineRule="auto"/>
        <w:ind w:firstLine="432"/>
        <w:jc w:val="both"/>
        <w:rPr>
          <w:rFonts w:ascii="Perpetua" w:eastAsia="Calibri" w:hAnsi="Perpetua" w:cs="Times New Roman"/>
          <w:sz w:val="20"/>
          <w:szCs w:val="20"/>
        </w:rPr>
      </w:pPr>
      <w:r w:rsidRPr="000A711A">
        <w:rPr>
          <w:rFonts w:ascii="Perpetua" w:eastAsia="Calibri" w:hAnsi="Perpetua" w:cs="Times New Roman"/>
          <w:sz w:val="20"/>
          <w:szCs w:val="20"/>
        </w:rPr>
        <w:t>Pope Vitalian, faced with the urgent need for a new Archbishop of Canterbury, turned to Hadrian. The Pope described Hadrian as a man of great learning, hailing not far from Naples, possibly from the monastery of Niridano (or Hiridano/Nisidanum) on the island of Nisida. Hadrian was known for his deep knowledge of scriptures, as well as his extensive experience in ecclesiastical and monastic administration.</w:t>
      </w:r>
    </w:p>
    <w:p w14:paraId="203F22AB" w14:textId="77777777" w:rsidR="000A711A" w:rsidRPr="000A711A" w:rsidRDefault="000A711A" w:rsidP="000A711A">
      <w:pPr>
        <w:spacing w:after="0" w:line="240" w:lineRule="auto"/>
        <w:ind w:firstLine="432"/>
        <w:jc w:val="both"/>
        <w:rPr>
          <w:rFonts w:ascii="Perpetua" w:eastAsia="Calibri" w:hAnsi="Perpetua" w:cs="Times New Roman"/>
          <w:sz w:val="20"/>
          <w:szCs w:val="20"/>
        </w:rPr>
      </w:pPr>
      <w:r w:rsidRPr="000A711A">
        <w:rPr>
          <w:rFonts w:ascii="Perpetua" w:eastAsia="Calibri" w:hAnsi="Perpetua" w:cs="Times New Roman"/>
          <w:sz w:val="20"/>
          <w:szCs w:val="20"/>
        </w:rPr>
        <w:t>Hadrian's scholarship was unparalleled; he was fluent in both Greek and Latin, a testament to his dedication to learning. When Pope Vitalian initially asked Hadrian to assume the role of Archbishop, he excused himself, believing that he was not suited for such a high position. Instead, he recommended Andrew, who declined due to health reasons.</w:t>
      </w:r>
    </w:p>
    <w:p w14:paraId="3121C0A1" w14:textId="77777777" w:rsidR="000A711A" w:rsidRPr="000A711A" w:rsidRDefault="000A711A" w:rsidP="000A711A">
      <w:pPr>
        <w:spacing w:after="0" w:line="240" w:lineRule="auto"/>
        <w:ind w:firstLine="432"/>
        <w:jc w:val="both"/>
        <w:rPr>
          <w:rFonts w:ascii="Perpetua" w:eastAsia="Calibri" w:hAnsi="Perpetua" w:cs="Times New Roman"/>
          <w:sz w:val="20"/>
          <w:szCs w:val="20"/>
        </w:rPr>
      </w:pPr>
      <w:r w:rsidRPr="000A711A">
        <w:rPr>
          <w:rFonts w:ascii="Perpetua" w:eastAsia="Calibri" w:hAnsi="Perpetua" w:cs="Times New Roman"/>
          <w:sz w:val="20"/>
          <w:szCs w:val="20"/>
        </w:rPr>
        <w:t>Pope Vitalian persisted in his quest for a suitable candidate and eventually was directed to Theodore, a native of Tarsus in Cilicia, who resided in Rome. Theodore possessed an exceptional breadth of knowledge, encompassing sacred and secular literature, and was proficient in both Greek and Latin. At the age of 66, his proven integrity and scholarly background made him an ideal candidate.</w:t>
      </w:r>
    </w:p>
    <w:p w14:paraId="76E7B767" w14:textId="77777777" w:rsidR="000A711A" w:rsidRPr="000A711A" w:rsidRDefault="000A711A" w:rsidP="000A711A">
      <w:pPr>
        <w:spacing w:after="0" w:line="240" w:lineRule="auto"/>
        <w:ind w:firstLine="432"/>
        <w:jc w:val="both"/>
        <w:rPr>
          <w:rFonts w:ascii="Perpetua" w:eastAsia="Calibri" w:hAnsi="Perpetua" w:cs="Times New Roman"/>
          <w:sz w:val="20"/>
          <w:szCs w:val="20"/>
        </w:rPr>
      </w:pPr>
      <w:r w:rsidRPr="000A711A">
        <w:rPr>
          <w:rFonts w:ascii="Perpetua" w:eastAsia="Calibri" w:hAnsi="Perpetua" w:cs="Times New Roman"/>
          <w:sz w:val="20"/>
          <w:szCs w:val="20"/>
        </w:rPr>
        <w:t>The Pope agreed to appoint Theodore as Archbishop of Canterbury on the condition that Hadrian would accompany him. Hadrian's knowledge of the road from his previous missions was valuable, ensuring a safe journey. Moreover, his presence was intended to prevent Theodore from introducing Greek customs into the English church.</w:t>
      </w:r>
    </w:p>
    <w:p w14:paraId="3273DF3B" w14:textId="77777777" w:rsidR="000A711A" w:rsidRPr="000A711A" w:rsidRDefault="000A711A" w:rsidP="000A711A">
      <w:pPr>
        <w:spacing w:after="0" w:line="240" w:lineRule="auto"/>
        <w:ind w:firstLine="432"/>
        <w:jc w:val="both"/>
        <w:rPr>
          <w:rFonts w:ascii="Perpetua" w:eastAsia="Calibri" w:hAnsi="Perpetua" w:cs="Times New Roman"/>
          <w:sz w:val="20"/>
          <w:szCs w:val="20"/>
        </w:rPr>
      </w:pPr>
      <w:r w:rsidRPr="000A711A">
        <w:rPr>
          <w:rFonts w:ascii="Perpetua" w:eastAsia="Calibri" w:hAnsi="Perpetua" w:cs="Times New Roman"/>
          <w:sz w:val="20"/>
          <w:szCs w:val="20"/>
        </w:rPr>
        <w:t>The consecration took place on March 26, 668, and the following day, they set out for Britain. Their route took them by sea to Marseilles, followed by a road trip to Arles. There, they presented a papal letter to Archbishop John and awaited a travel permit from the local mayor. The winter was spent in the archdiocese of Sens, while Theodore stayed in Paris. Finally, Theodore were escorted to the port of Quentavic by Egbert, where he boarded a ship bound for Britain.</w:t>
      </w:r>
    </w:p>
    <w:p w14:paraId="2247BB2B" w14:textId="77777777" w:rsidR="000A711A" w:rsidRPr="000A711A" w:rsidRDefault="000A711A" w:rsidP="000A711A">
      <w:pPr>
        <w:spacing w:after="0" w:line="240" w:lineRule="auto"/>
        <w:ind w:firstLine="432"/>
        <w:jc w:val="both"/>
        <w:rPr>
          <w:rFonts w:ascii="Perpetua" w:eastAsia="Calibri" w:hAnsi="Perpetua" w:cs="Times New Roman"/>
          <w:sz w:val="20"/>
          <w:szCs w:val="20"/>
        </w:rPr>
      </w:pPr>
      <w:r w:rsidRPr="000A711A">
        <w:rPr>
          <w:rFonts w:ascii="Perpetua" w:eastAsia="Calibri" w:hAnsi="Perpetua" w:cs="Times New Roman"/>
          <w:sz w:val="20"/>
          <w:szCs w:val="20"/>
        </w:rPr>
        <w:t>Hadrian's journey was not without its challenges. He was detained in Gaul by Ebroin, under suspicion that he was conducting an embassy for the emperor. Eventually, he was released and joined Theodore in Britain, where he was appointed abbot of the monastery of Saints Peter and Paul.</w:t>
      </w:r>
    </w:p>
    <w:p w14:paraId="34E42734" w14:textId="77777777" w:rsidR="000A711A" w:rsidRPr="000A711A" w:rsidRDefault="000A711A" w:rsidP="000A711A">
      <w:pPr>
        <w:spacing w:after="0" w:line="240" w:lineRule="auto"/>
        <w:ind w:firstLine="432"/>
        <w:jc w:val="both"/>
        <w:rPr>
          <w:rFonts w:ascii="Perpetua" w:eastAsia="Calibri" w:hAnsi="Perpetua" w:cs="Times New Roman"/>
          <w:sz w:val="20"/>
          <w:szCs w:val="20"/>
        </w:rPr>
      </w:pPr>
      <w:r w:rsidRPr="000A711A">
        <w:rPr>
          <w:rFonts w:ascii="Perpetua" w:eastAsia="Calibri" w:hAnsi="Perpetua" w:cs="Times New Roman"/>
          <w:sz w:val="20"/>
          <w:szCs w:val="20"/>
        </w:rPr>
        <w:t>Hadrian's impact on the English church was profound. He traveled throughout the island, engaging with the local populace and imparting his vast knowledge. His teachings attracted numerous students, whom he instructed in sacred and secular literature, poetry, astronomy, and the calculation of the church calendar. Some of these students, as noted by Bede, remained proficient in both Latin and Greek, as well as their native English tongue.</w:t>
      </w:r>
    </w:p>
    <w:p w14:paraId="2FC0D3C7" w14:textId="77777777" w:rsidR="000A711A" w:rsidRPr="000A711A" w:rsidRDefault="000A711A" w:rsidP="000A711A">
      <w:pPr>
        <w:spacing w:after="0" w:line="240" w:lineRule="auto"/>
        <w:ind w:firstLine="432"/>
        <w:jc w:val="both"/>
        <w:rPr>
          <w:rFonts w:ascii="Perpetua" w:eastAsia="Calibri" w:hAnsi="Perpetua" w:cs="Times New Roman"/>
          <w:sz w:val="20"/>
          <w:szCs w:val="20"/>
        </w:rPr>
      </w:pPr>
      <w:r w:rsidRPr="000A711A">
        <w:rPr>
          <w:rFonts w:ascii="Perpetua" w:eastAsia="Calibri" w:hAnsi="Perpetua" w:cs="Times New Roman"/>
          <w:sz w:val="20"/>
          <w:szCs w:val="20"/>
        </w:rPr>
        <w:t xml:space="preserve">Bede makes an interesting statement in the second chapter of his </w:t>
      </w:r>
      <w:r w:rsidRPr="000A711A">
        <w:rPr>
          <w:rFonts w:ascii="Perpetua" w:eastAsia="Calibri" w:hAnsi="Perpetua" w:cs="Times New Roman"/>
          <w:i/>
          <w:sz w:val="20"/>
          <w:szCs w:val="20"/>
        </w:rPr>
        <w:t>Ecclesiastical History</w:t>
      </w:r>
      <w:r w:rsidRPr="000A711A">
        <w:rPr>
          <w:rFonts w:ascii="Perpetua" w:eastAsia="Calibri" w:hAnsi="Perpetua" w:cs="Times New Roman"/>
          <w:sz w:val="20"/>
          <w:szCs w:val="20"/>
        </w:rPr>
        <w:t>: “From that time also the knowledge of sacred music, which had hitherto been known only in Kent, began to be taught in all the English churches.”</w:t>
      </w:r>
      <w:r w:rsidRPr="000A711A">
        <w:rPr>
          <w:rFonts w:ascii="Perpetua" w:eastAsia="Calibri" w:hAnsi="Perpetua" w:cs="Times New Roman"/>
          <w:i/>
          <w:sz w:val="20"/>
          <w:szCs w:val="20"/>
        </w:rPr>
        <w:t xml:space="preserve"> </w:t>
      </w:r>
      <w:r w:rsidRPr="000A711A">
        <w:rPr>
          <w:rFonts w:ascii="Perpetua" w:eastAsia="Calibri" w:hAnsi="Perpetua" w:cs="Times New Roman"/>
          <w:sz w:val="20"/>
          <w:szCs w:val="20"/>
        </w:rPr>
        <w:t xml:space="preserve">Bede is clear that this knowledge of sacred music was transferred after Hadrian and Theodore were established. As result, it fair to say that the “fathers” of English sacred music were Hadrian and Theodore. </w:t>
      </w:r>
    </w:p>
    <w:p w14:paraId="138943A0" w14:textId="77777777" w:rsidR="000A711A" w:rsidRPr="000A711A" w:rsidRDefault="000A711A" w:rsidP="000A711A">
      <w:pPr>
        <w:spacing w:after="0" w:line="240" w:lineRule="auto"/>
        <w:ind w:firstLine="432"/>
        <w:jc w:val="both"/>
        <w:rPr>
          <w:rFonts w:ascii="Perpetua" w:eastAsia="Calibri" w:hAnsi="Perpetua" w:cs="Times New Roman"/>
          <w:sz w:val="20"/>
          <w:szCs w:val="20"/>
        </w:rPr>
      </w:pPr>
      <w:r w:rsidRPr="000A711A">
        <w:rPr>
          <w:rFonts w:ascii="Perpetua" w:eastAsia="Calibri" w:hAnsi="Perpetua" w:cs="Times New Roman"/>
          <w:sz w:val="20"/>
          <w:szCs w:val="20"/>
        </w:rPr>
        <w:lastRenderedPageBreak/>
        <w:t>After an illustrious life, Hadrian passed away in 709, buried in the monastery church. His legacy lived on through his successor, Abbot Albinius, who was trained by Hadrian and possessed a deep understanding of Greek and Latin, along with his native English tongue. Hadrian's influence on the English church and culture extended well beyond his lifetime, making him a true pioneer and foundational figure in the history of England.</w:t>
      </w:r>
    </w:p>
    <w:p w14:paraId="13F40BCC" w14:textId="77777777" w:rsidR="000A711A" w:rsidRPr="000A711A" w:rsidRDefault="000A711A" w:rsidP="000A711A">
      <w:pPr>
        <w:spacing w:after="0" w:line="240" w:lineRule="auto"/>
        <w:jc w:val="both"/>
        <w:rPr>
          <w:rFonts w:ascii="Perpetua" w:eastAsia="Calibri" w:hAnsi="Perpetua" w:cs="Calibri"/>
          <w:sz w:val="20"/>
          <w:szCs w:val="20"/>
        </w:rPr>
      </w:pPr>
    </w:p>
    <w:p w14:paraId="14754D34" w14:textId="77777777" w:rsidR="000A711A" w:rsidRPr="000A711A" w:rsidRDefault="000A711A" w:rsidP="000A711A">
      <w:pPr>
        <w:spacing w:after="0" w:line="240" w:lineRule="auto"/>
        <w:jc w:val="both"/>
        <w:rPr>
          <w:rFonts w:ascii="Perpetua" w:eastAsia="Calibri" w:hAnsi="Perpetua" w:cs="Calibri"/>
          <w:sz w:val="20"/>
          <w:szCs w:val="20"/>
        </w:rPr>
      </w:pPr>
      <w:r w:rsidRPr="000A711A">
        <w:rPr>
          <w:rFonts w:ascii="Perpetua" w:eastAsia="Calibri" w:hAnsi="Perpetua" w:cs="Calibri"/>
          <w:sz w:val="20"/>
          <w:szCs w:val="20"/>
        </w:rPr>
        <w:t>Michael Glerup</w:t>
      </w:r>
    </w:p>
    <w:p w14:paraId="731F914A" w14:textId="77777777" w:rsidR="000A711A" w:rsidRPr="000A711A" w:rsidRDefault="000A711A" w:rsidP="000A711A">
      <w:pPr>
        <w:spacing w:after="0" w:line="240" w:lineRule="auto"/>
        <w:jc w:val="both"/>
        <w:rPr>
          <w:rFonts w:ascii="Perpetua" w:eastAsia="Calibri" w:hAnsi="Perpetua" w:cs="Calibri"/>
          <w:bCs/>
          <w:iCs/>
          <w:sz w:val="20"/>
          <w:szCs w:val="20"/>
        </w:rPr>
      </w:pPr>
    </w:p>
    <w:p w14:paraId="1D15B613" w14:textId="77777777" w:rsidR="000A711A" w:rsidRPr="000A711A" w:rsidRDefault="000A711A" w:rsidP="000A711A">
      <w:pPr>
        <w:spacing w:after="0" w:line="240" w:lineRule="auto"/>
        <w:jc w:val="both"/>
        <w:rPr>
          <w:rFonts w:ascii="Perpetua" w:eastAsia="Calibri" w:hAnsi="Perpetua" w:cs="Calibri"/>
          <w:bCs/>
          <w:iCs/>
          <w:sz w:val="20"/>
          <w:szCs w:val="20"/>
        </w:rPr>
      </w:pPr>
    </w:p>
    <w:p w14:paraId="64F6C9D9" w14:textId="77777777" w:rsidR="000A711A" w:rsidRPr="000A711A" w:rsidRDefault="000A711A" w:rsidP="000A711A">
      <w:pPr>
        <w:spacing w:after="0" w:line="240" w:lineRule="auto"/>
        <w:jc w:val="both"/>
        <w:rPr>
          <w:rFonts w:ascii="Perpetua" w:eastAsia="Calibri" w:hAnsi="Perpetua" w:cs="Calibri"/>
          <w:bCs/>
          <w:iCs/>
          <w:sz w:val="20"/>
          <w:szCs w:val="20"/>
        </w:rPr>
      </w:pPr>
      <w:r w:rsidRPr="000A711A">
        <w:rPr>
          <w:rFonts w:ascii="Perpetua" w:eastAsia="Calibri" w:hAnsi="Perpetua" w:cs="Calibri"/>
          <w:b/>
          <w:iCs/>
          <w:sz w:val="20"/>
          <w:szCs w:val="20"/>
        </w:rPr>
        <w:t>Bibliography</w:t>
      </w:r>
      <w:r w:rsidRPr="000A711A">
        <w:rPr>
          <w:rFonts w:ascii="Perpetua" w:eastAsia="Calibri" w:hAnsi="Perpetua" w:cs="Calibri"/>
          <w:bCs/>
          <w:iCs/>
          <w:sz w:val="20"/>
          <w:szCs w:val="20"/>
        </w:rPr>
        <w:t>:</w:t>
      </w:r>
    </w:p>
    <w:p w14:paraId="6AAA6697" w14:textId="77777777" w:rsidR="000A711A" w:rsidRPr="000A711A" w:rsidRDefault="000A711A" w:rsidP="000A711A">
      <w:pPr>
        <w:spacing w:after="0" w:line="240" w:lineRule="auto"/>
        <w:jc w:val="both"/>
        <w:rPr>
          <w:rFonts w:ascii="Perpetua" w:eastAsia="Calibri" w:hAnsi="Perpetua" w:cs="Calibri"/>
          <w:bCs/>
          <w:i/>
          <w:sz w:val="20"/>
          <w:szCs w:val="20"/>
        </w:rPr>
      </w:pPr>
    </w:p>
    <w:p w14:paraId="262EAA1D" w14:textId="77777777" w:rsidR="000A711A" w:rsidRPr="000A711A" w:rsidRDefault="000A711A" w:rsidP="000A711A">
      <w:pPr>
        <w:spacing w:after="0" w:line="240" w:lineRule="auto"/>
        <w:ind w:left="432" w:hanging="432"/>
        <w:jc w:val="both"/>
        <w:rPr>
          <w:rFonts w:ascii="Perpetua" w:eastAsia="Calibri" w:hAnsi="Perpetua" w:cs="Calibri"/>
          <w:sz w:val="20"/>
          <w:szCs w:val="20"/>
        </w:rPr>
      </w:pPr>
      <w:r w:rsidRPr="000A711A">
        <w:rPr>
          <w:rFonts w:ascii="Perpetua" w:eastAsia="Calibri" w:hAnsi="Perpetua" w:cs="Calibri"/>
          <w:bCs/>
          <w:i/>
          <w:sz w:val="20"/>
          <w:szCs w:val="20"/>
        </w:rPr>
        <w:t>Bede's Ecclesiastical History</w:t>
      </w:r>
      <w:r w:rsidRPr="000A711A">
        <w:rPr>
          <w:rFonts w:ascii="Perpetua" w:eastAsia="Calibri" w:hAnsi="Perpetua" w:cs="Calibri"/>
          <w:sz w:val="20"/>
          <w:szCs w:val="20"/>
        </w:rPr>
        <w:t xml:space="preserve"> (Books 4.1, 2; 5.20, 23).</w:t>
      </w:r>
    </w:p>
    <w:p w14:paraId="6740ECA8" w14:textId="77777777" w:rsidR="000A711A" w:rsidRPr="000A711A" w:rsidRDefault="000A711A" w:rsidP="000A711A">
      <w:pPr>
        <w:spacing w:after="0" w:line="240" w:lineRule="auto"/>
        <w:ind w:left="432" w:hanging="432"/>
        <w:jc w:val="both"/>
        <w:rPr>
          <w:rFonts w:ascii="Perpetua" w:eastAsia="Calibri" w:hAnsi="Perpetua" w:cs="Calibri"/>
          <w:sz w:val="20"/>
          <w:szCs w:val="20"/>
        </w:rPr>
      </w:pPr>
      <w:r w:rsidRPr="000A711A">
        <w:rPr>
          <w:rFonts w:ascii="Perpetua" w:eastAsia="Calibri" w:hAnsi="Perpetua" w:cs="Calibri"/>
          <w:sz w:val="20"/>
          <w:szCs w:val="20"/>
        </w:rPr>
        <w:t>Gower, Gillian L.  Race-ing Plainchant: Theodore of Tarsus, Hadrian of Canterbury, and the Voices of Music History. Viator 51:1 (2020): 103-120.</w:t>
      </w:r>
    </w:p>
    <w:p w14:paraId="40C3C5DE" w14:textId="77777777" w:rsidR="000A711A" w:rsidRPr="000A711A" w:rsidRDefault="000A711A" w:rsidP="000A711A">
      <w:pPr>
        <w:spacing w:after="0" w:line="240" w:lineRule="auto"/>
        <w:ind w:left="432" w:hanging="432"/>
        <w:jc w:val="both"/>
        <w:rPr>
          <w:rFonts w:ascii="Perpetua" w:eastAsia="Times New Roman" w:hAnsi="Perpetua" w:cs="Calibri"/>
          <w:sz w:val="20"/>
          <w:szCs w:val="20"/>
        </w:rPr>
      </w:pPr>
      <w:r w:rsidRPr="000A711A">
        <w:rPr>
          <w:rFonts w:ascii="Perpetua" w:eastAsia="Times New Roman" w:hAnsi="Perpetua" w:cs="Calibri"/>
          <w:sz w:val="20"/>
          <w:szCs w:val="20"/>
        </w:rPr>
        <w:t>Hudson, Alison. “An African Abbot in Anglo-Saxon England.” Medieval Manuscripts Blog. The British Library. October 27, 2016.</w:t>
      </w:r>
    </w:p>
    <w:p w14:paraId="318AB183" w14:textId="77777777" w:rsidR="000A711A" w:rsidRPr="000A711A" w:rsidRDefault="00000000" w:rsidP="000A711A">
      <w:pPr>
        <w:spacing w:after="0" w:line="240" w:lineRule="auto"/>
        <w:ind w:left="432"/>
        <w:jc w:val="both"/>
        <w:rPr>
          <w:rFonts w:ascii="Perpetua" w:eastAsia="Times New Roman" w:hAnsi="Perpetua" w:cs="Calibri"/>
          <w:sz w:val="20"/>
          <w:szCs w:val="20"/>
        </w:rPr>
      </w:pPr>
      <w:hyperlink r:id="rId22" w:history="1">
        <w:r w:rsidR="000A711A" w:rsidRPr="000A711A">
          <w:rPr>
            <w:rFonts w:ascii="Perpetua" w:eastAsia="Times New Roman" w:hAnsi="Perpetua" w:cs="Calibri"/>
            <w:color w:val="0563C1"/>
            <w:sz w:val="20"/>
            <w:szCs w:val="20"/>
            <w:u w:val="single"/>
          </w:rPr>
          <w:t>Https://blogs.bl.uk/digitisedmanuscripts/2016/10/an-african-abbot-in-anglo-saxon-england.html</w:t>
        </w:r>
      </w:hyperlink>
      <w:r w:rsidR="000A711A" w:rsidRPr="000A711A">
        <w:rPr>
          <w:rFonts w:ascii="Perpetua" w:eastAsia="Times New Roman" w:hAnsi="Perpetua" w:cs="Calibri"/>
          <w:sz w:val="20"/>
          <w:szCs w:val="20"/>
        </w:rPr>
        <w:t>.</w:t>
      </w:r>
    </w:p>
    <w:p w14:paraId="30C8BC97" w14:textId="77777777" w:rsidR="000A711A" w:rsidRPr="000A711A" w:rsidRDefault="000A711A" w:rsidP="000A711A">
      <w:pPr>
        <w:spacing w:after="0" w:line="240" w:lineRule="auto"/>
        <w:ind w:left="432" w:hanging="432"/>
        <w:jc w:val="both"/>
        <w:rPr>
          <w:rFonts w:ascii="Perpetua" w:eastAsia="Calibri" w:hAnsi="Perpetua" w:cs="Calibri"/>
          <w:sz w:val="20"/>
          <w:szCs w:val="20"/>
        </w:rPr>
      </w:pPr>
      <w:r w:rsidRPr="000A711A">
        <w:rPr>
          <w:rFonts w:ascii="Perpetua" w:eastAsia="Calibri" w:hAnsi="Perpetua" w:cs="Calibri"/>
          <w:sz w:val="20"/>
          <w:szCs w:val="20"/>
        </w:rPr>
        <w:t xml:space="preserve">Lapidge, Michael. “Abbot Hadrian.” In </w:t>
      </w:r>
      <w:r w:rsidRPr="000A711A">
        <w:rPr>
          <w:rFonts w:ascii="Perpetua" w:eastAsia="Calibri" w:hAnsi="Perpetua" w:cs="Calibri"/>
          <w:i/>
          <w:sz w:val="20"/>
          <w:szCs w:val="20"/>
        </w:rPr>
        <w:t>Biblical Commentaries from the Canterbury School of Theodore and Hadrian,</w:t>
      </w:r>
      <w:r w:rsidRPr="000A711A">
        <w:rPr>
          <w:rFonts w:ascii="Perpetua" w:eastAsia="Calibri" w:hAnsi="Perpetua" w:cs="Calibri"/>
          <w:sz w:val="20"/>
          <w:szCs w:val="20"/>
        </w:rPr>
        <w:t xml:space="preserve"> edited by Bernhard Bischoff and Michael Lapidge. Cambridge Studies in Anglo-Saxon England 10. (Cambridge: Cambridge University Press, 1994.) 82–132</w:t>
      </w:r>
    </w:p>
    <w:p w14:paraId="1FF7CA12" w14:textId="77777777" w:rsidR="000A711A" w:rsidRPr="000A711A" w:rsidRDefault="000A711A" w:rsidP="000A711A">
      <w:pPr>
        <w:spacing w:after="0" w:line="240" w:lineRule="auto"/>
        <w:ind w:left="432" w:hanging="432"/>
        <w:jc w:val="both"/>
        <w:rPr>
          <w:rFonts w:ascii="Perpetua" w:eastAsia="Calibri" w:hAnsi="Perpetua" w:cs="Calibri"/>
          <w:sz w:val="20"/>
          <w:szCs w:val="20"/>
        </w:rPr>
      </w:pPr>
      <w:r w:rsidRPr="000A711A">
        <w:rPr>
          <w:rFonts w:ascii="Perpetua" w:eastAsia="Calibri" w:hAnsi="Perpetua" w:cs="Calibri"/>
          <w:sz w:val="20"/>
          <w:szCs w:val="20"/>
        </w:rPr>
        <w:t xml:space="preserve">--------- “The School of Theodore and Hadrian.” </w:t>
      </w:r>
      <w:r w:rsidRPr="000A711A">
        <w:rPr>
          <w:rFonts w:ascii="Perpetua" w:eastAsia="Calibri" w:hAnsi="Perpetua" w:cs="Calibri"/>
          <w:i/>
          <w:iCs/>
          <w:sz w:val="20"/>
          <w:szCs w:val="20"/>
        </w:rPr>
        <w:t>Anglo-Saxon England</w:t>
      </w:r>
      <w:r w:rsidRPr="000A711A">
        <w:rPr>
          <w:rFonts w:ascii="Perpetua" w:eastAsia="Calibri" w:hAnsi="Perpetua" w:cs="Calibri"/>
          <w:sz w:val="20"/>
          <w:szCs w:val="20"/>
        </w:rPr>
        <w:t xml:space="preserve"> 15 (1986): 45–72.  </w:t>
      </w:r>
    </w:p>
    <w:p w14:paraId="000FC685" w14:textId="77777777" w:rsidR="000A711A" w:rsidRPr="000A711A" w:rsidRDefault="000A711A" w:rsidP="000A711A">
      <w:pPr>
        <w:spacing w:after="0" w:line="240" w:lineRule="auto"/>
        <w:ind w:left="432" w:hanging="432"/>
        <w:jc w:val="both"/>
        <w:rPr>
          <w:rFonts w:ascii="Perpetua" w:eastAsia="Times New Roman" w:hAnsi="Perpetua" w:cs="Calibri"/>
          <w:sz w:val="20"/>
          <w:szCs w:val="20"/>
        </w:rPr>
      </w:pPr>
      <w:r w:rsidRPr="000A711A">
        <w:rPr>
          <w:rFonts w:ascii="Perpetua" w:eastAsia="Times New Roman" w:hAnsi="Perpetua" w:cs="Calibri"/>
          <w:sz w:val="20"/>
          <w:szCs w:val="20"/>
        </w:rPr>
        <w:t>Rambaran-Olm, Mary. “Anglo-Saxon Studies [Early English Studies], Academia and White Supremacy,” Medium (blog), June 27, 2018,</w:t>
      </w:r>
    </w:p>
    <w:p w14:paraId="783F95B5" w14:textId="77777777" w:rsidR="000A711A" w:rsidRPr="000A711A" w:rsidRDefault="00000000" w:rsidP="000A711A">
      <w:pPr>
        <w:spacing w:after="0" w:line="240" w:lineRule="auto"/>
        <w:ind w:left="432"/>
        <w:jc w:val="both"/>
        <w:rPr>
          <w:rFonts w:ascii="Perpetua" w:eastAsia="Times New Roman" w:hAnsi="Perpetua" w:cs="Calibri"/>
          <w:sz w:val="20"/>
          <w:szCs w:val="20"/>
        </w:rPr>
      </w:pPr>
      <w:hyperlink r:id="rId23" w:history="1">
        <w:r w:rsidR="000A711A" w:rsidRPr="000A711A">
          <w:rPr>
            <w:rFonts w:ascii="Perpetua" w:eastAsia="Times New Roman" w:hAnsi="Perpetua" w:cs="Calibri"/>
            <w:color w:val="0563C1"/>
            <w:sz w:val="20"/>
            <w:szCs w:val="20"/>
            <w:u w:val="single"/>
          </w:rPr>
          <w:t>Https://mrambaranolm.medium.com/anglo-saxon-studies-academia-and-white-supremacy-17c87b360bf3</w:t>
        </w:r>
      </w:hyperlink>
      <w:r w:rsidR="000A711A" w:rsidRPr="000A711A">
        <w:rPr>
          <w:rFonts w:ascii="Perpetua" w:eastAsia="Times New Roman" w:hAnsi="Perpetua" w:cs="Calibri"/>
          <w:sz w:val="20"/>
          <w:szCs w:val="20"/>
        </w:rPr>
        <w:t xml:space="preserve"> </w:t>
      </w:r>
    </w:p>
    <w:p w14:paraId="3A5F4634" w14:textId="77777777" w:rsidR="000A711A" w:rsidRPr="000A711A" w:rsidRDefault="000A711A" w:rsidP="000A711A">
      <w:pPr>
        <w:spacing w:after="0" w:line="240" w:lineRule="auto"/>
        <w:jc w:val="both"/>
        <w:rPr>
          <w:rFonts w:ascii="Perpetua" w:eastAsia="Times New Roman" w:hAnsi="Perpetua" w:cs="Calibri"/>
          <w:sz w:val="20"/>
          <w:szCs w:val="20"/>
        </w:rPr>
      </w:pPr>
    </w:p>
    <w:p w14:paraId="74150D55" w14:textId="77777777" w:rsidR="000A711A" w:rsidRPr="000A711A" w:rsidRDefault="000A711A" w:rsidP="000A711A">
      <w:pPr>
        <w:spacing w:after="0" w:line="240" w:lineRule="auto"/>
        <w:jc w:val="both"/>
        <w:rPr>
          <w:rFonts w:ascii="Perpetua" w:eastAsia="Times New Roman" w:hAnsi="Perpetua" w:cs="Calibri"/>
          <w:sz w:val="20"/>
          <w:szCs w:val="20"/>
        </w:rPr>
      </w:pPr>
    </w:p>
    <w:p w14:paraId="66AD6AEA" w14:textId="0FA59080" w:rsidR="000A711A" w:rsidRPr="000A711A" w:rsidRDefault="000A711A" w:rsidP="000A711A">
      <w:pPr>
        <w:spacing w:after="0" w:line="240" w:lineRule="auto"/>
        <w:jc w:val="both"/>
        <w:rPr>
          <w:rFonts w:ascii="Perpetua" w:eastAsia="Calibri" w:hAnsi="Perpetua" w:cs="Calibri"/>
          <w:sz w:val="20"/>
          <w:szCs w:val="20"/>
        </w:rPr>
      </w:pPr>
      <w:r w:rsidRPr="000A711A">
        <w:rPr>
          <w:rFonts w:ascii="Perpetua" w:eastAsia="Times New Roman" w:hAnsi="Perpetua" w:cs="Calibri"/>
          <w:sz w:val="20"/>
          <w:szCs w:val="20"/>
        </w:rPr>
        <w:t xml:space="preserve">This biography, received in February 2024, was written </w:t>
      </w:r>
      <w:r w:rsidR="00B3604D">
        <w:rPr>
          <w:rFonts w:ascii="Perpetua" w:eastAsia="Times New Roman" w:hAnsi="Perpetua" w:cs="Calibri"/>
          <w:sz w:val="20"/>
          <w:szCs w:val="20"/>
        </w:rPr>
        <w:t xml:space="preserve">for the JACB </w:t>
      </w:r>
      <w:r w:rsidRPr="000A711A">
        <w:rPr>
          <w:rFonts w:ascii="Perpetua" w:eastAsia="Times New Roman" w:hAnsi="Perpetua" w:cs="Calibri"/>
          <w:sz w:val="20"/>
          <w:szCs w:val="20"/>
        </w:rPr>
        <w:t>by Dr. Michael Glerup</w:t>
      </w:r>
      <w:r w:rsidR="00785D2B">
        <w:rPr>
          <w:rFonts w:ascii="Perpetua" w:eastAsia="Times New Roman" w:hAnsi="Perpetua" w:cs="Calibri"/>
          <w:sz w:val="20"/>
          <w:szCs w:val="20"/>
        </w:rPr>
        <w:t xml:space="preserve">, </w:t>
      </w:r>
      <w:r w:rsidR="00785D2B" w:rsidRPr="00785D2B">
        <w:rPr>
          <w:rFonts w:ascii="Perpetua" w:eastAsia="Times New Roman" w:hAnsi="Perpetua" w:cs="Calibri"/>
          <w:sz w:val="20"/>
          <w:szCs w:val="20"/>
        </w:rPr>
        <w:t xml:space="preserve">Executive Director of the </w:t>
      </w:r>
      <w:r w:rsidR="00785D2B" w:rsidRPr="00785D2B">
        <w:rPr>
          <w:rFonts w:ascii="Perpetua" w:eastAsia="Times New Roman" w:hAnsi="Perpetua" w:cs="Calibri"/>
          <w:i/>
          <w:iCs/>
          <w:sz w:val="20"/>
          <w:szCs w:val="20"/>
        </w:rPr>
        <w:t>Center for Early African Christianity</w:t>
      </w:r>
      <w:r w:rsidR="00785D2B" w:rsidRPr="00785D2B">
        <w:rPr>
          <w:rFonts w:ascii="Perpetua" w:eastAsia="Times New Roman" w:hAnsi="Perpetua" w:cs="Calibri"/>
          <w:sz w:val="20"/>
          <w:szCs w:val="20"/>
        </w:rPr>
        <w:t xml:space="preserve">, and General Editor of the </w:t>
      </w:r>
      <w:r w:rsidR="00785D2B" w:rsidRPr="00785D2B">
        <w:rPr>
          <w:rFonts w:ascii="Perpetua" w:eastAsia="Times New Roman" w:hAnsi="Perpetua" w:cs="Calibri"/>
          <w:i/>
          <w:iCs/>
          <w:sz w:val="20"/>
          <w:szCs w:val="20"/>
        </w:rPr>
        <w:t>Ancient Christian Texts</w:t>
      </w:r>
      <w:r w:rsidR="00785D2B" w:rsidRPr="00785D2B">
        <w:rPr>
          <w:rFonts w:ascii="Perpetua" w:eastAsia="Times New Roman" w:hAnsi="Perpetua" w:cs="Calibri"/>
          <w:sz w:val="20"/>
          <w:szCs w:val="20"/>
        </w:rPr>
        <w:t xml:space="preserve"> series published by InterVarsity Press.</w:t>
      </w:r>
      <w:r w:rsidR="00785D2B">
        <w:rPr>
          <w:rFonts w:ascii="Perpetua" w:eastAsia="Times New Roman" w:hAnsi="Perpetua" w:cs="Calibri"/>
          <w:sz w:val="20"/>
          <w:szCs w:val="20"/>
        </w:rPr>
        <w:t xml:space="preserve"> </w:t>
      </w:r>
    </w:p>
    <w:p w14:paraId="25EB88B9" w14:textId="77777777" w:rsidR="000A711A" w:rsidRDefault="000A711A" w:rsidP="000A711A">
      <w:pPr>
        <w:spacing w:after="0" w:line="240" w:lineRule="auto"/>
        <w:jc w:val="both"/>
        <w:rPr>
          <w:rFonts w:ascii="Perpetua" w:eastAsia="Calibri" w:hAnsi="Perpetua" w:cs="Times New Roman"/>
          <w:sz w:val="20"/>
          <w:szCs w:val="20"/>
        </w:rPr>
      </w:pPr>
    </w:p>
    <w:p w14:paraId="5EEA8B49" w14:textId="77777777" w:rsidR="00224E06" w:rsidRDefault="00224E06" w:rsidP="000A711A">
      <w:pPr>
        <w:spacing w:after="0" w:line="240" w:lineRule="auto"/>
        <w:jc w:val="both"/>
        <w:rPr>
          <w:rFonts w:ascii="Perpetua" w:eastAsia="Calibri" w:hAnsi="Perpetua" w:cs="Times New Roman"/>
          <w:sz w:val="20"/>
          <w:szCs w:val="20"/>
        </w:rPr>
      </w:pPr>
    </w:p>
    <w:p w14:paraId="7F98609E" w14:textId="7F1D9D87" w:rsidR="007E0C3D" w:rsidRPr="000A711A" w:rsidRDefault="007E0C3D" w:rsidP="000A711A">
      <w:pPr>
        <w:spacing w:after="0" w:line="240" w:lineRule="auto"/>
        <w:jc w:val="both"/>
        <w:rPr>
          <w:rFonts w:ascii="Perpetua" w:eastAsia="Calibri" w:hAnsi="Perpetua" w:cs="Times New Roman"/>
          <w:sz w:val="20"/>
          <w:szCs w:val="20"/>
        </w:rPr>
      </w:pPr>
      <w:r>
        <w:rPr>
          <w:rFonts w:ascii="Perpetua" w:eastAsia="Calibri" w:hAnsi="Perpetua" w:cs="Times New Roman"/>
          <w:sz w:val="20"/>
          <w:szCs w:val="20"/>
        </w:rPr>
        <w:t>_____________________</w:t>
      </w:r>
    </w:p>
    <w:p w14:paraId="4D696944" w14:textId="77777777" w:rsidR="00F461C4" w:rsidRDefault="00F461C4" w:rsidP="00A81E76">
      <w:pPr>
        <w:pStyle w:val="Heading2"/>
        <w:rPr>
          <w:rFonts w:eastAsia="Calibri"/>
        </w:rPr>
      </w:pPr>
      <w:bookmarkStart w:id="5" w:name="_Toc158365918"/>
      <w:bookmarkStart w:id="6" w:name="_Hlk158284295"/>
    </w:p>
    <w:p w14:paraId="4E6A42FF" w14:textId="77777777" w:rsidR="00F461C4" w:rsidRDefault="00F461C4" w:rsidP="00A81E76">
      <w:pPr>
        <w:pStyle w:val="Heading2"/>
        <w:rPr>
          <w:rFonts w:eastAsia="Calibri"/>
        </w:rPr>
      </w:pPr>
    </w:p>
    <w:p w14:paraId="5413F1E7" w14:textId="77777777" w:rsidR="00F461C4" w:rsidRDefault="00F461C4" w:rsidP="00A81E76">
      <w:pPr>
        <w:pStyle w:val="Heading2"/>
        <w:rPr>
          <w:rFonts w:eastAsia="Calibri"/>
        </w:rPr>
      </w:pPr>
    </w:p>
    <w:p w14:paraId="16282FCD" w14:textId="77777777" w:rsidR="00F461C4" w:rsidRDefault="00F461C4">
      <w:pPr>
        <w:spacing w:after="0" w:line="240" w:lineRule="auto"/>
        <w:jc w:val="center"/>
        <w:rPr>
          <w:rFonts w:ascii="Adobe Garamond Pro" w:eastAsia="Calibri" w:hAnsi="Adobe Garamond Pro" w:cstheme="majorBidi"/>
          <w:b/>
          <w:szCs w:val="26"/>
        </w:rPr>
      </w:pPr>
      <w:r>
        <w:rPr>
          <w:rFonts w:eastAsia="Calibri"/>
        </w:rPr>
        <w:br w:type="page"/>
      </w:r>
    </w:p>
    <w:p w14:paraId="79AC3541" w14:textId="1C341C23" w:rsidR="007E0C3D" w:rsidRPr="007E0C3D" w:rsidRDefault="007E0C3D" w:rsidP="00A81E76">
      <w:pPr>
        <w:pStyle w:val="Heading2"/>
        <w:rPr>
          <w:rFonts w:eastAsia="Calibri"/>
        </w:rPr>
      </w:pPr>
      <w:r w:rsidRPr="007E0C3D">
        <w:rPr>
          <w:rFonts w:eastAsia="Calibri"/>
        </w:rPr>
        <w:lastRenderedPageBreak/>
        <w:t>Giyorgis of Sagla</w:t>
      </w:r>
      <w:bookmarkEnd w:id="5"/>
    </w:p>
    <w:p w14:paraId="5E83FB24" w14:textId="77777777" w:rsidR="007E0C3D" w:rsidRPr="007E0C3D" w:rsidRDefault="007E0C3D" w:rsidP="007E0C3D">
      <w:pPr>
        <w:spacing w:after="0" w:line="240" w:lineRule="auto"/>
        <w:jc w:val="both"/>
        <w:rPr>
          <w:rFonts w:ascii="Perpetua" w:eastAsia="Calibri" w:hAnsi="Perpetua" w:cs="Times New Roman"/>
          <w:b/>
          <w:bCs/>
          <w:sz w:val="20"/>
          <w:szCs w:val="20"/>
        </w:rPr>
      </w:pPr>
      <w:r w:rsidRPr="007E0C3D">
        <w:rPr>
          <w:rFonts w:ascii="Perpetua" w:eastAsia="Calibri" w:hAnsi="Perpetua" w:cs="Times New Roman"/>
          <w:b/>
          <w:bCs/>
          <w:sz w:val="20"/>
          <w:szCs w:val="20"/>
        </w:rPr>
        <w:t>1364 - 1424</w:t>
      </w:r>
    </w:p>
    <w:p w14:paraId="08469017" w14:textId="77777777" w:rsidR="007E0C3D" w:rsidRPr="007E0C3D" w:rsidRDefault="007E0C3D" w:rsidP="007E0C3D">
      <w:pPr>
        <w:spacing w:after="0" w:line="240" w:lineRule="auto"/>
        <w:jc w:val="both"/>
        <w:rPr>
          <w:rFonts w:ascii="Perpetua" w:eastAsia="Calibri" w:hAnsi="Perpetua" w:cs="Times New Roman"/>
          <w:b/>
          <w:bCs/>
          <w:sz w:val="20"/>
          <w:szCs w:val="20"/>
        </w:rPr>
      </w:pPr>
      <w:r w:rsidRPr="007E0C3D">
        <w:rPr>
          <w:rFonts w:ascii="Perpetua" w:eastAsia="Calibri" w:hAnsi="Perpetua" w:cs="Times New Roman"/>
          <w:b/>
          <w:bCs/>
          <w:sz w:val="20"/>
          <w:szCs w:val="20"/>
        </w:rPr>
        <w:t>Ethiopian Orthodox Church</w:t>
      </w:r>
    </w:p>
    <w:p w14:paraId="16126713" w14:textId="77777777" w:rsidR="007E0C3D" w:rsidRPr="007E0C3D" w:rsidRDefault="007E0C3D" w:rsidP="007E0C3D">
      <w:pPr>
        <w:spacing w:after="0" w:line="240" w:lineRule="auto"/>
        <w:jc w:val="both"/>
        <w:rPr>
          <w:rFonts w:ascii="Perpetua" w:eastAsia="Calibri" w:hAnsi="Perpetua" w:cs="Times New Roman"/>
          <w:b/>
          <w:bCs/>
          <w:sz w:val="20"/>
          <w:szCs w:val="20"/>
        </w:rPr>
      </w:pPr>
      <w:r w:rsidRPr="007E0C3D">
        <w:rPr>
          <w:rFonts w:ascii="Perpetua" w:eastAsia="Calibri" w:hAnsi="Perpetua" w:cs="Times New Roman"/>
          <w:b/>
          <w:bCs/>
          <w:sz w:val="20"/>
          <w:szCs w:val="20"/>
        </w:rPr>
        <w:t>Ethiopia</w:t>
      </w:r>
    </w:p>
    <w:p w14:paraId="5B08F787" w14:textId="77777777" w:rsidR="007E0C3D" w:rsidRPr="007E0C3D" w:rsidRDefault="007E0C3D" w:rsidP="007E0C3D">
      <w:pPr>
        <w:spacing w:after="0" w:line="240" w:lineRule="auto"/>
        <w:ind w:firstLine="720"/>
        <w:jc w:val="both"/>
        <w:rPr>
          <w:rFonts w:ascii="Perpetua" w:eastAsia="Calibri" w:hAnsi="Perpetua" w:cs="Times New Roman"/>
          <w:sz w:val="20"/>
          <w:szCs w:val="20"/>
        </w:rPr>
      </w:pPr>
    </w:p>
    <w:p w14:paraId="020CD5A8" w14:textId="77777777" w:rsidR="007E0C3D" w:rsidRPr="007E0C3D" w:rsidRDefault="007E0C3D" w:rsidP="007E0C3D">
      <w:pPr>
        <w:spacing w:after="0" w:line="240" w:lineRule="auto"/>
        <w:jc w:val="both"/>
        <w:rPr>
          <w:rFonts w:ascii="Perpetua" w:eastAsia="Calibri" w:hAnsi="Perpetua" w:cs="Times New Roman"/>
          <w:sz w:val="20"/>
          <w:szCs w:val="20"/>
        </w:rPr>
      </w:pPr>
      <w:r w:rsidRPr="007E0C3D">
        <w:rPr>
          <w:rFonts w:ascii="Perpetua" w:eastAsia="Calibri" w:hAnsi="Perpetua" w:cs="Times New Roman"/>
          <w:sz w:val="20"/>
          <w:szCs w:val="20"/>
        </w:rPr>
        <w:t xml:space="preserve">There have been other Ethiopian figures from the fourteenth century with the name Giyorgis that have been confused with one another at various points. However, the author of the </w:t>
      </w:r>
      <w:r w:rsidRPr="007E0C3D">
        <w:rPr>
          <w:rFonts w:ascii="Perpetua" w:eastAsia="Calibri" w:hAnsi="Perpetua" w:cs="Times New Roman"/>
          <w:i/>
          <w:iCs/>
          <w:color w:val="000000"/>
          <w:sz w:val="20"/>
          <w:szCs w:val="20"/>
        </w:rPr>
        <w:t>Ma</w:t>
      </w:r>
      <w:r w:rsidRPr="007E0C3D">
        <w:rPr>
          <w:rFonts w:ascii="Cambria" w:eastAsia="Calibri" w:hAnsi="Cambria" w:cs="Cambria"/>
          <w:i/>
          <w:iCs/>
          <w:color w:val="000000"/>
          <w:sz w:val="20"/>
          <w:szCs w:val="20"/>
          <w:shd w:val="clear" w:color="auto" w:fill="FFFFFF"/>
        </w:rPr>
        <w:t>ṣ</w:t>
      </w:r>
      <w:r w:rsidRPr="007E0C3D">
        <w:rPr>
          <w:rFonts w:ascii="Cambria" w:eastAsia="Calibri" w:hAnsi="Cambria" w:cs="Cambria"/>
          <w:i/>
          <w:iCs/>
          <w:color w:val="202124"/>
          <w:sz w:val="20"/>
          <w:szCs w:val="20"/>
          <w:shd w:val="clear" w:color="auto" w:fill="FFFFFF"/>
        </w:rPr>
        <w:t>ḥ</w:t>
      </w:r>
      <w:r w:rsidRPr="007E0C3D">
        <w:rPr>
          <w:rFonts w:ascii="Perpetua" w:eastAsia="Calibri" w:hAnsi="Perpetua" w:cs="Times New Roman"/>
          <w:i/>
          <w:iCs/>
          <w:color w:val="000000"/>
          <w:sz w:val="20"/>
          <w:szCs w:val="20"/>
        </w:rPr>
        <w:t>afa M</w:t>
      </w:r>
      <w:r w:rsidRPr="007E0C3D">
        <w:rPr>
          <w:rFonts w:ascii="Cambria" w:eastAsia="Calibri" w:hAnsi="Cambria" w:cs="Cambria"/>
          <w:i/>
          <w:iCs/>
          <w:color w:val="000000"/>
          <w:sz w:val="20"/>
          <w:szCs w:val="20"/>
        </w:rPr>
        <w:t>ǝ</w:t>
      </w:r>
      <w:r w:rsidRPr="007E0C3D">
        <w:rPr>
          <w:rFonts w:ascii="Perpetua" w:eastAsia="Calibri" w:hAnsi="Perpetua" w:cs="Times New Roman"/>
          <w:i/>
          <w:iCs/>
          <w:color w:val="000000"/>
          <w:sz w:val="20"/>
          <w:szCs w:val="20"/>
        </w:rPr>
        <w:t>s</w:t>
      </w:r>
      <w:r w:rsidRPr="007E0C3D">
        <w:rPr>
          <w:rFonts w:ascii="Cambria" w:eastAsia="Calibri" w:hAnsi="Cambria" w:cs="Cambria"/>
          <w:i/>
          <w:iCs/>
          <w:color w:val="000000"/>
          <w:sz w:val="20"/>
          <w:szCs w:val="20"/>
          <w:shd w:val="clear" w:color="auto" w:fill="FFFFFF"/>
        </w:rPr>
        <w:t>ṭ</w:t>
      </w:r>
      <w:r w:rsidRPr="007E0C3D">
        <w:rPr>
          <w:rFonts w:ascii="Perpetua" w:eastAsia="Calibri" w:hAnsi="Perpetua" w:cs="Times New Roman"/>
          <w:i/>
          <w:iCs/>
          <w:color w:val="000000"/>
          <w:sz w:val="20"/>
          <w:szCs w:val="20"/>
        </w:rPr>
        <w:t>ir</w:t>
      </w:r>
      <w:r w:rsidRPr="007E0C3D">
        <w:rPr>
          <w:rFonts w:ascii="Perpetua" w:eastAsia="Calibri" w:hAnsi="Perpetua" w:cs="Times New Roman"/>
          <w:sz w:val="20"/>
          <w:szCs w:val="20"/>
        </w:rPr>
        <w:t xml:space="preserve"> (“Book of Mystery”) has been considered by most to be Giyorgis of Sagla, or Gasecha. The </w:t>
      </w:r>
      <w:r w:rsidRPr="007E0C3D">
        <w:rPr>
          <w:rFonts w:ascii="Perpetua" w:eastAsia="Calibri" w:hAnsi="Perpetua" w:cs="Times New Roman"/>
          <w:i/>
          <w:iCs/>
          <w:color w:val="000000"/>
          <w:sz w:val="20"/>
          <w:szCs w:val="20"/>
        </w:rPr>
        <w:t>Ma</w:t>
      </w:r>
      <w:r w:rsidRPr="007E0C3D">
        <w:rPr>
          <w:rFonts w:ascii="Cambria" w:eastAsia="Calibri" w:hAnsi="Cambria" w:cs="Cambria"/>
          <w:i/>
          <w:iCs/>
          <w:color w:val="000000"/>
          <w:sz w:val="20"/>
          <w:szCs w:val="20"/>
          <w:shd w:val="clear" w:color="auto" w:fill="FFFFFF"/>
        </w:rPr>
        <w:t>ṣ</w:t>
      </w:r>
      <w:r w:rsidRPr="007E0C3D">
        <w:rPr>
          <w:rFonts w:ascii="Cambria" w:eastAsia="Calibri" w:hAnsi="Cambria" w:cs="Cambria"/>
          <w:i/>
          <w:iCs/>
          <w:color w:val="202124"/>
          <w:sz w:val="20"/>
          <w:szCs w:val="20"/>
          <w:shd w:val="clear" w:color="auto" w:fill="FFFFFF"/>
        </w:rPr>
        <w:t>ḥ</w:t>
      </w:r>
      <w:r w:rsidRPr="007E0C3D">
        <w:rPr>
          <w:rFonts w:ascii="Perpetua" w:eastAsia="Calibri" w:hAnsi="Perpetua" w:cs="Times New Roman"/>
          <w:i/>
          <w:iCs/>
          <w:color w:val="000000"/>
          <w:sz w:val="20"/>
          <w:szCs w:val="20"/>
        </w:rPr>
        <w:t>afa M</w:t>
      </w:r>
      <w:r w:rsidRPr="007E0C3D">
        <w:rPr>
          <w:rFonts w:ascii="Cambria" w:eastAsia="Calibri" w:hAnsi="Cambria" w:cs="Cambria"/>
          <w:i/>
          <w:iCs/>
          <w:color w:val="000000"/>
          <w:sz w:val="20"/>
          <w:szCs w:val="20"/>
        </w:rPr>
        <w:t>ǝ</w:t>
      </w:r>
      <w:r w:rsidRPr="007E0C3D">
        <w:rPr>
          <w:rFonts w:ascii="Perpetua" w:eastAsia="Calibri" w:hAnsi="Perpetua" w:cs="Times New Roman"/>
          <w:i/>
          <w:iCs/>
          <w:color w:val="000000"/>
          <w:sz w:val="20"/>
          <w:szCs w:val="20"/>
        </w:rPr>
        <w:t>s</w:t>
      </w:r>
      <w:r w:rsidRPr="007E0C3D">
        <w:rPr>
          <w:rFonts w:ascii="Cambria" w:eastAsia="Calibri" w:hAnsi="Cambria" w:cs="Cambria"/>
          <w:i/>
          <w:iCs/>
          <w:color w:val="000000"/>
          <w:sz w:val="20"/>
          <w:szCs w:val="20"/>
          <w:shd w:val="clear" w:color="auto" w:fill="FFFFFF"/>
        </w:rPr>
        <w:t>ṭ</w:t>
      </w:r>
      <w:r w:rsidRPr="007E0C3D">
        <w:rPr>
          <w:rFonts w:ascii="Perpetua" w:eastAsia="Calibri" w:hAnsi="Perpetua" w:cs="Times New Roman"/>
          <w:i/>
          <w:iCs/>
          <w:color w:val="000000"/>
          <w:sz w:val="20"/>
          <w:szCs w:val="20"/>
        </w:rPr>
        <w:t>ir</w:t>
      </w:r>
      <w:r w:rsidRPr="007E0C3D">
        <w:rPr>
          <w:rFonts w:ascii="Perpetua" w:eastAsia="Calibri" w:hAnsi="Perpetua" w:cs="Times New Roman"/>
          <w:sz w:val="20"/>
          <w:szCs w:val="20"/>
        </w:rPr>
        <w:t xml:space="preserve"> provides minimal information about the life and ministry of Giyorgis. However, a fifteenth-century </w:t>
      </w:r>
      <w:r w:rsidRPr="007E0C3D">
        <w:rPr>
          <w:rFonts w:ascii="Perpetua" w:eastAsia="Calibri" w:hAnsi="Perpetua" w:cs="Times New Roman"/>
          <w:i/>
          <w:iCs/>
          <w:sz w:val="20"/>
          <w:szCs w:val="20"/>
        </w:rPr>
        <w:t>gadl</w:t>
      </w:r>
      <w:r w:rsidRPr="007E0C3D">
        <w:rPr>
          <w:rFonts w:ascii="Perpetua" w:eastAsia="Calibri" w:hAnsi="Perpetua" w:cs="Times New Roman"/>
          <w:sz w:val="20"/>
          <w:szCs w:val="20"/>
        </w:rPr>
        <w:t xml:space="preserve">—or “biography”—of Giyorgis provides more detailed information about his life. This volume presents the first English translation of the </w:t>
      </w:r>
      <w:r w:rsidRPr="007E0C3D">
        <w:rPr>
          <w:rFonts w:ascii="Perpetua" w:eastAsia="Calibri" w:hAnsi="Perpetua" w:cs="Times New Roman"/>
          <w:i/>
          <w:iCs/>
          <w:sz w:val="20"/>
          <w:szCs w:val="20"/>
        </w:rPr>
        <w:t>gadl</w:t>
      </w:r>
      <w:r w:rsidRPr="007E0C3D">
        <w:rPr>
          <w:rFonts w:ascii="Perpetua" w:eastAsia="Calibri" w:hAnsi="Perpetua" w:cs="Times New Roman"/>
          <w:sz w:val="20"/>
          <w:szCs w:val="20"/>
        </w:rPr>
        <w:t xml:space="preserve"> of Giyorgis as well. </w:t>
      </w:r>
    </w:p>
    <w:p w14:paraId="416D38D1" w14:textId="77777777" w:rsidR="007E0C3D" w:rsidRPr="007E0C3D" w:rsidRDefault="007E0C3D" w:rsidP="007E0C3D">
      <w:pPr>
        <w:spacing w:after="0" w:line="240" w:lineRule="auto"/>
        <w:ind w:firstLine="432"/>
        <w:jc w:val="both"/>
        <w:rPr>
          <w:rFonts w:ascii="Perpetua" w:eastAsia="Calibri" w:hAnsi="Perpetua" w:cs="Times New Roman"/>
          <w:sz w:val="20"/>
          <w:szCs w:val="20"/>
        </w:rPr>
      </w:pPr>
      <w:r w:rsidRPr="007E0C3D">
        <w:rPr>
          <w:rFonts w:ascii="Perpetua" w:eastAsia="Calibri" w:hAnsi="Perpetua" w:cs="Times New Roman"/>
          <w:sz w:val="20"/>
          <w:szCs w:val="20"/>
        </w:rPr>
        <w:t xml:space="preserve">Giyorgis was born during the mid-fourteenth century in the Tigray region of northern Ethiopia to a nobleman named Hezba Seyon and a woman from the </w:t>
      </w:r>
      <w:r w:rsidRPr="007E0C3D">
        <w:rPr>
          <w:rFonts w:ascii="Perpetua" w:eastAsia="Calibri" w:hAnsi="Perpetua" w:cs="Times New Roman"/>
          <w:color w:val="222222"/>
          <w:sz w:val="20"/>
          <w:szCs w:val="20"/>
          <w:shd w:val="clear" w:color="auto" w:fill="FFFFFF"/>
        </w:rPr>
        <w:t>Walaqa</w:t>
      </w:r>
      <w:r w:rsidRPr="007E0C3D">
        <w:rPr>
          <w:rFonts w:ascii="Perpetua" w:eastAsia="Calibri" w:hAnsi="Perpetua" w:cs="Times New Roman"/>
          <w:sz w:val="20"/>
          <w:szCs w:val="20"/>
        </w:rPr>
        <w:t xml:space="preserve"> region named </w:t>
      </w:r>
      <w:r w:rsidRPr="007E0C3D">
        <w:rPr>
          <w:rFonts w:ascii="Times New Roman" w:eastAsia="Calibri" w:hAnsi="Times New Roman" w:cs="Times New Roman"/>
          <w:color w:val="222222"/>
          <w:sz w:val="20"/>
          <w:szCs w:val="20"/>
          <w:shd w:val="clear" w:color="auto" w:fill="FFFFFF"/>
        </w:rPr>
        <w:t>ʾ</w:t>
      </w:r>
      <w:r w:rsidRPr="007E0C3D">
        <w:rPr>
          <w:rFonts w:ascii="Perpetua" w:eastAsia="Calibri" w:hAnsi="Perpetua" w:cs="Times New Roman"/>
          <w:color w:val="222222"/>
          <w:sz w:val="20"/>
          <w:szCs w:val="20"/>
          <w:shd w:val="clear" w:color="auto" w:fill="FFFFFF"/>
        </w:rPr>
        <w:t xml:space="preserve">Emmena </w:t>
      </w:r>
      <w:r w:rsidRPr="007E0C3D">
        <w:rPr>
          <w:rFonts w:ascii="Cambria" w:eastAsia="Calibri" w:hAnsi="Cambria" w:cs="Cambria"/>
          <w:color w:val="040C28"/>
          <w:sz w:val="20"/>
          <w:szCs w:val="20"/>
        </w:rPr>
        <w:t>Ṣ</w:t>
      </w:r>
      <w:r w:rsidRPr="007E0C3D">
        <w:rPr>
          <w:rFonts w:ascii="Perpetua" w:eastAsia="Calibri" w:hAnsi="Perpetua" w:cs="Times New Roman"/>
          <w:color w:val="222222"/>
          <w:sz w:val="20"/>
          <w:szCs w:val="20"/>
          <w:shd w:val="clear" w:color="auto" w:fill="FFFFFF"/>
        </w:rPr>
        <w:t>eyon</w:t>
      </w:r>
      <w:r w:rsidRPr="007E0C3D">
        <w:rPr>
          <w:rFonts w:ascii="Perpetua" w:eastAsia="Calibri" w:hAnsi="Perpetua" w:cs="Times New Roman"/>
          <w:sz w:val="20"/>
          <w:szCs w:val="20"/>
        </w:rPr>
        <w:t xml:space="preserve">. Indeed, Giyorgis’ Christian father was renowned for his knowledge of the Bible, a trait that likely passed to Giyorgis. Hezba Seyon was a part of the imperial court and had connections to the chief priests in the capital city. It is perhaps for this reason, that Hezba Seyon was able to take Giyorgis to the </w:t>
      </w:r>
      <w:r w:rsidRPr="007E0C3D">
        <w:rPr>
          <w:rFonts w:ascii="Perpetua" w:eastAsia="Calibri" w:hAnsi="Perpetua" w:cs="Times New Roman"/>
          <w:i/>
          <w:iCs/>
          <w:sz w:val="20"/>
          <w:szCs w:val="20"/>
        </w:rPr>
        <w:t xml:space="preserve">abuna </w:t>
      </w:r>
      <w:r w:rsidRPr="007E0C3D">
        <w:rPr>
          <w:rFonts w:ascii="Perpetua" w:eastAsia="Calibri" w:hAnsi="Perpetua" w:cs="Times New Roman"/>
          <w:sz w:val="20"/>
          <w:szCs w:val="20"/>
        </w:rPr>
        <w:t xml:space="preserve">of Ethiopia to ordain Giyorgis as a deacon. However, Giyorgis is remembered in Ethiopian tradition as being slow to theological education in the beginning. Giyorgis’ father brought him to the famous monastic community at Lake Hayq, during the leadership of </w:t>
      </w:r>
      <w:r w:rsidRPr="007E0C3D">
        <w:rPr>
          <w:rFonts w:ascii="Cambria" w:eastAsia="Calibri" w:hAnsi="Cambria" w:cs="Cambria"/>
          <w:color w:val="222222"/>
          <w:sz w:val="20"/>
          <w:szCs w:val="20"/>
          <w:shd w:val="clear" w:color="auto" w:fill="FFFFFF"/>
        </w:rPr>
        <w:t>Ś</w:t>
      </w:r>
      <w:r w:rsidRPr="007E0C3D">
        <w:rPr>
          <w:rFonts w:ascii="Perpetua" w:eastAsia="Calibri" w:hAnsi="Perpetua" w:cs="Times New Roman"/>
          <w:color w:val="222222"/>
          <w:sz w:val="20"/>
          <w:szCs w:val="20"/>
          <w:shd w:val="clear" w:color="auto" w:fill="FFFFFF"/>
        </w:rPr>
        <w:t xml:space="preserve">araqa Berhan, the </w:t>
      </w:r>
      <w:r w:rsidRPr="007E0C3D">
        <w:rPr>
          <w:rFonts w:ascii="Times New Roman" w:eastAsia="Calibri" w:hAnsi="Times New Roman" w:cs="Times New Roman"/>
          <w:color w:val="222222"/>
          <w:sz w:val="20"/>
          <w:szCs w:val="20"/>
          <w:shd w:val="clear" w:color="auto" w:fill="FFFFFF"/>
        </w:rPr>
        <w:t>ʿ</w:t>
      </w:r>
      <w:r w:rsidRPr="007E0C3D">
        <w:rPr>
          <w:rFonts w:ascii="Perpetua" w:eastAsia="Calibri" w:hAnsi="Perpetua" w:cs="Times New Roman"/>
          <w:color w:val="222222"/>
          <w:sz w:val="20"/>
          <w:szCs w:val="20"/>
          <w:shd w:val="clear" w:color="auto" w:fill="FFFFFF"/>
        </w:rPr>
        <w:t>Aqabey Sa</w:t>
      </w:r>
      <w:r w:rsidRPr="007E0C3D">
        <w:rPr>
          <w:rFonts w:ascii="Times New Roman" w:eastAsia="Calibri" w:hAnsi="Times New Roman" w:cs="Times New Roman"/>
          <w:color w:val="222222"/>
          <w:sz w:val="20"/>
          <w:szCs w:val="20"/>
          <w:shd w:val="clear" w:color="auto" w:fill="FFFFFF"/>
        </w:rPr>
        <w:t>ʿ</w:t>
      </w:r>
      <w:r w:rsidRPr="007E0C3D">
        <w:rPr>
          <w:rFonts w:ascii="Cambria" w:eastAsia="Calibri" w:hAnsi="Cambria" w:cs="Cambria"/>
          <w:color w:val="222222"/>
          <w:sz w:val="20"/>
          <w:szCs w:val="20"/>
          <w:shd w:val="clear" w:color="auto" w:fill="FFFFFF"/>
        </w:rPr>
        <w:t>ā</w:t>
      </w:r>
      <w:r w:rsidRPr="007E0C3D">
        <w:rPr>
          <w:rFonts w:ascii="Perpetua" w:eastAsia="Calibri" w:hAnsi="Perpetua" w:cs="Times New Roman"/>
          <w:color w:val="222222"/>
          <w:sz w:val="20"/>
          <w:szCs w:val="20"/>
          <w:shd w:val="clear" w:color="auto" w:fill="FFFFFF"/>
        </w:rPr>
        <w:t>t</w:t>
      </w:r>
      <w:r w:rsidRPr="007E0C3D">
        <w:rPr>
          <w:rFonts w:ascii="Perpetua" w:eastAsia="Calibri" w:hAnsi="Perpetua" w:cs="Times New Roman"/>
          <w:sz w:val="20"/>
          <w:szCs w:val="20"/>
        </w:rPr>
        <w:t xml:space="preserve"> (“Head Monk”) of the Estifanos Monastery. Giyorgis struggled academically and was very discouraged at first, for the rigorous Ethiopian monastic system of theological education relied on memorization of Scripture and theological writings. </w:t>
      </w:r>
    </w:p>
    <w:p w14:paraId="162978E8" w14:textId="1D64669E" w:rsidR="007E0C3D" w:rsidRPr="007E0C3D" w:rsidRDefault="007E0C3D" w:rsidP="007E0C3D">
      <w:pPr>
        <w:spacing w:after="0" w:line="240" w:lineRule="auto"/>
        <w:ind w:firstLine="432"/>
        <w:jc w:val="both"/>
        <w:rPr>
          <w:rFonts w:ascii="Perpetua" w:eastAsia="Calibri" w:hAnsi="Perpetua" w:cs="Times New Roman"/>
          <w:sz w:val="20"/>
          <w:szCs w:val="20"/>
        </w:rPr>
      </w:pPr>
      <w:r w:rsidRPr="007E0C3D">
        <w:rPr>
          <w:rFonts w:ascii="Perpetua" w:eastAsia="Calibri" w:hAnsi="Perpetua" w:cs="Times New Roman"/>
          <w:sz w:val="20"/>
          <w:szCs w:val="20"/>
        </w:rPr>
        <w:t xml:space="preserve">However, Giyorgis continued to pray to the Virgin Mary, who appeared to him and counseled him to continue his study with diligence. Giyorgis had “little knowledge” of the Scriptures, a trait that was destined to highlight the glory of God who gave Giyorgis miraculous intelligence. The glory of </w:t>
      </w:r>
      <w:r w:rsidRPr="007E0C3D">
        <w:rPr>
          <w:rFonts w:ascii="Times New Roman" w:eastAsia="Calibri" w:hAnsi="Times New Roman" w:cs="Times New Roman"/>
          <w:i/>
          <w:iCs/>
          <w:sz w:val="20"/>
          <w:szCs w:val="20"/>
        </w:rPr>
        <w:t>ʾ</w:t>
      </w:r>
      <w:r w:rsidRPr="007E0C3D">
        <w:rPr>
          <w:rFonts w:ascii="Cambria" w:eastAsia="Calibri" w:hAnsi="Cambria" w:cs="Cambria"/>
          <w:i/>
          <w:iCs/>
          <w:sz w:val="20"/>
          <w:szCs w:val="20"/>
        </w:rPr>
        <w:t>Ǝ</w:t>
      </w:r>
      <w:r w:rsidRPr="007E0C3D">
        <w:rPr>
          <w:rFonts w:ascii="Perpetua" w:eastAsia="Calibri" w:hAnsi="Perpetua" w:cs="Times New Roman"/>
          <w:i/>
          <w:iCs/>
          <w:sz w:val="20"/>
          <w:szCs w:val="20"/>
        </w:rPr>
        <w:t>gzi</w:t>
      </w:r>
      <w:r w:rsidRPr="007E0C3D">
        <w:rPr>
          <w:rFonts w:ascii="Times New Roman" w:eastAsia="Calibri" w:hAnsi="Times New Roman" w:cs="Times New Roman"/>
          <w:i/>
          <w:iCs/>
          <w:sz w:val="20"/>
          <w:szCs w:val="20"/>
        </w:rPr>
        <w:t>ʾ</w:t>
      </w:r>
      <w:r w:rsidRPr="007E0C3D">
        <w:rPr>
          <w:rFonts w:ascii="Perpetua" w:eastAsia="Calibri" w:hAnsi="Perpetua" w:cs="Times New Roman"/>
          <w:i/>
          <w:iCs/>
          <w:sz w:val="20"/>
          <w:szCs w:val="20"/>
        </w:rPr>
        <w:t>ab</w:t>
      </w:r>
      <w:r w:rsidRPr="007E0C3D">
        <w:rPr>
          <w:rFonts w:ascii="Cambria" w:eastAsia="Calibri" w:hAnsi="Cambria" w:cs="Cambria"/>
          <w:i/>
          <w:iCs/>
          <w:sz w:val="20"/>
          <w:szCs w:val="20"/>
        </w:rPr>
        <w:t>ḥ</w:t>
      </w:r>
      <w:r w:rsidRPr="007E0C3D">
        <w:rPr>
          <w:rFonts w:ascii="Perpetua" w:eastAsia="Calibri" w:hAnsi="Perpetua" w:cs="Times New Roman"/>
          <w:i/>
          <w:iCs/>
          <w:sz w:val="20"/>
          <w:szCs w:val="20"/>
        </w:rPr>
        <w:t>er</w:t>
      </w:r>
      <w:r w:rsidRPr="007E0C3D">
        <w:rPr>
          <w:rFonts w:ascii="Perpetua" w:eastAsia="Calibri" w:hAnsi="Perpetua" w:cs="Times New Roman"/>
          <w:sz w:val="20"/>
          <w:szCs w:val="20"/>
        </w:rPr>
        <w:t xml:space="preserve"> (“God”) would be manifest in spite of Giyorgis’ lack of intelligence, much like the blind man who was given sight for the glory of Jesus in John 9. The theological renown of Giyorgis resulted in his invitation to the imperial court. However, Giyorgis retired from the capital to take up the ascetic life in order to avoid the emperor’s constant attempts at betrothing Giyorgis to the princess. </w:t>
      </w:r>
      <w:r w:rsidR="00DE4F60">
        <w:rPr>
          <w:rFonts w:ascii="Perpetua" w:eastAsia="Calibri" w:hAnsi="Perpetua" w:cs="Times New Roman"/>
          <w:sz w:val="20"/>
          <w:szCs w:val="20"/>
        </w:rPr>
        <w:t xml:space="preserve">Nevertheless, </w:t>
      </w:r>
      <w:r w:rsidRPr="007E0C3D">
        <w:rPr>
          <w:rFonts w:ascii="Perpetua" w:eastAsia="Calibri" w:hAnsi="Perpetua" w:cs="Times New Roman"/>
          <w:sz w:val="20"/>
          <w:szCs w:val="20"/>
        </w:rPr>
        <w:t xml:space="preserve">Giyorgis remained a close advisor and mentor to the leadership of Ethiopia. He returned to his native Sagla and began to compose his own writings. </w:t>
      </w:r>
    </w:p>
    <w:p w14:paraId="501011A1" w14:textId="77777777" w:rsidR="007E0C3D" w:rsidRPr="007E0C3D" w:rsidRDefault="007E0C3D" w:rsidP="007E0C3D">
      <w:pPr>
        <w:spacing w:after="0" w:line="240" w:lineRule="auto"/>
        <w:jc w:val="both"/>
        <w:rPr>
          <w:rFonts w:ascii="Perpetua" w:eastAsia="Calibri" w:hAnsi="Perpetua" w:cs="Times New Roman"/>
          <w:sz w:val="20"/>
          <w:szCs w:val="20"/>
        </w:rPr>
      </w:pPr>
      <w:r w:rsidRPr="007E0C3D">
        <w:rPr>
          <w:rFonts w:ascii="Perpetua" w:eastAsia="Calibri" w:hAnsi="Perpetua" w:cs="Times New Roman"/>
          <w:sz w:val="20"/>
          <w:szCs w:val="20"/>
        </w:rPr>
        <w:tab/>
        <w:t xml:space="preserve">Other than the </w:t>
      </w:r>
      <w:r w:rsidRPr="007E0C3D">
        <w:rPr>
          <w:rFonts w:ascii="Perpetua" w:eastAsia="Calibri" w:hAnsi="Perpetua" w:cs="Times New Roman"/>
          <w:i/>
          <w:iCs/>
          <w:color w:val="000000"/>
          <w:sz w:val="20"/>
          <w:szCs w:val="20"/>
        </w:rPr>
        <w:t>Ma</w:t>
      </w:r>
      <w:r w:rsidRPr="007E0C3D">
        <w:rPr>
          <w:rFonts w:ascii="Cambria" w:eastAsia="Calibri" w:hAnsi="Cambria" w:cs="Cambria"/>
          <w:i/>
          <w:iCs/>
          <w:color w:val="000000"/>
          <w:sz w:val="20"/>
          <w:szCs w:val="20"/>
          <w:shd w:val="clear" w:color="auto" w:fill="FFFFFF"/>
        </w:rPr>
        <w:t>ṣ</w:t>
      </w:r>
      <w:r w:rsidRPr="007E0C3D">
        <w:rPr>
          <w:rFonts w:ascii="Cambria" w:eastAsia="Calibri" w:hAnsi="Cambria" w:cs="Cambria"/>
          <w:i/>
          <w:iCs/>
          <w:color w:val="202124"/>
          <w:sz w:val="20"/>
          <w:szCs w:val="20"/>
          <w:shd w:val="clear" w:color="auto" w:fill="FFFFFF"/>
        </w:rPr>
        <w:t>ḥ</w:t>
      </w:r>
      <w:r w:rsidRPr="007E0C3D">
        <w:rPr>
          <w:rFonts w:ascii="Perpetua" w:eastAsia="Calibri" w:hAnsi="Perpetua" w:cs="Times New Roman"/>
          <w:i/>
          <w:iCs/>
          <w:color w:val="000000"/>
          <w:sz w:val="20"/>
          <w:szCs w:val="20"/>
        </w:rPr>
        <w:t>afa M</w:t>
      </w:r>
      <w:r w:rsidRPr="007E0C3D">
        <w:rPr>
          <w:rFonts w:ascii="Cambria" w:eastAsia="Calibri" w:hAnsi="Cambria" w:cs="Cambria"/>
          <w:i/>
          <w:iCs/>
          <w:color w:val="000000"/>
          <w:sz w:val="20"/>
          <w:szCs w:val="20"/>
        </w:rPr>
        <w:t>ǝ</w:t>
      </w:r>
      <w:r w:rsidRPr="007E0C3D">
        <w:rPr>
          <w:rFonts w:ascii="Perpetua" w:eastAsia="Calibri" w:hAnsi="Perpetua" w:cs="Times New Roman"/>
          <w:i/>
          <w:iCs/>
          <w:color w:val="000000"/>
          <w:sz w:val="20"/>
          <w:szCs w:val="20"/>
        </w:rPr>
        <w:t>s</w:t>
      </w:r>
      <w:r w:rsidRPr="007E0C3D">
        <w:rPr>
          <w:rFonts w:ascii="Cambria" w:eastAsia="Calibri" w:hAnsi="Cambria" w:cs="Cambria"/>
          <w:i/>
          <w:iCs/>
          <w:color w:val="000000"/>
          <w:sz w:val="20"/>
          <w:szCs w:val="20"/>
          <w:shd w:val="clear" w:color="auto" w:fill="FFFFFF"/>
        </w:rPr>
        <w:t>ṭ</w:t>
      </w:r>
      <w:r w:rsidRPr="007E0C3D">
        <w:rPr>
          <w:rFonts w:ascii="Perpetua" w:eastAsia="Calibri" w:hAnsi="Perpetua" w:cs="Times New Roman"/>
          <w:i/>
          <w:iCs/>
          <w:color w:val="000000"/>
          <w:sz w:val="20"/>
          <w:szCs w:val="20"/>
        </w:rPr>
        <w:t>ir</w:t>
      </w:r>
      <w:r w:rsidRPr="007E0C3D">
        <w:rPr>
          <w:rFonts w:ascii="Perpetua" w:eastAsia="Calibri" w:hAnsi="Perpetua" w:cs="Times New Roman"/>
          <w:sz w:val="20"/>
          <w:szCs w:val="20"/>
        </w:rPr>
        <w:t>, the most famous composition of Giyorgis was his</w:t>
      </w:r>
      <w:r w:rsidRPr="007E0C3D">
        <w:rPr>
          <w:rFonts w:ascii="Perpetua" w:eastAsia="Calibri" w:hAnsi="Perpetua" w:cs="Times New Roman"/>
          <w:i/>
          <w:iCs/>
          <w:sz w:val="20"/>
          <w:szCs w:val="20"/>
        </w:rPr>
        <w:t xml:space="preserve"> Sa</w:t>
      </w:r>
      <w:r w:rsidRPr="007E0C3D">
        <w:rPr>
          <w:rFonts w:ascii="Times New Roman" w:eastAsia="Calibri" w:hAnsi="Times New Roman" w:cs="Times New Roman"/>
          <w:i/>
          <w:iCs/>
          <w:sz w:val="20"/>
          <w:szCs w:val="20"/>
        </w:rPr>
        <w:t>ʿ</w:t>
      </w:r>
      <w:r w:rsidRPr="007E0C3D">
        <w:rPr>
          <w:rFonts w:ascii="Perpetua" w:eastAsia="Calibri" w:hAnsi="Perpetua" w:cs="Times New Roman"/>
          <w:i/>
          <w:iCs/>
          <w:sz w:val="20"/>
          <w:szCs w:val="20"/>
        </w:rPr>
        <w:t>atat</w:t>
      </w:r>
      <w:r w:rsidRPr="007E0C3D">
        <w:rPr>
          <w:rFonts w:ascii="Perpetua" w:eastAsia="Calibri" w:hAnsi="Perpetua" w:cs="Times New Roman"/>
          <w:sz w:val="20"/>
          <w:szCs w:val="20"/>
        </w:rPr>
        <w:t xml:space="preserve"> (“Hours”). Until this work from Giyorgis, the Ethiopian Church relied on the Coptic </w:t>
      </w:r>
      <w:r w:rsidRPr="007E0C3D">
        <w:rPr>
          <w:rFonts w:ascii="Perpetua" w:eastAsia="Calibri" w:hAnsi="Perpetua" w:cs="Times New Roman"/>
          <w:i/>
          <w:iCs/>
          <w:sz w:val="20"/>
          <w:szCs w:val="20"/>
        </w:rPr>
        <w:t>Horologion</w:t>
      </w:r>
      <w:r w:rsidRPr="007E0C3D">
        <w:rPr>
          <w:rFonts w:ascii="Perpetua" w:eastAsia="Calibri" w:hAnsi="Perpetua" w:cs="Times New Roman"/>
          <w:sz w:val="20"/>
          <w:szCs w:val="20"/>
        </w:rPr>
        <w:t xml:space="preserve">. Giyorgis adapted and expanded the Coptic liturgical hours to include indigenous Ethiopian saints that were absent from other liturgical compositions. Giyorgis also wrote the </w:t>
      </w:r>
      <w:r w:rsidRPr="007E0C3D">
        <w:rPr>
          <w:rFonts w:ascii="Perpetua" w:eastAsia="Calibri" w:hAnsi="Perpetua" w:cs="Times New Roman"/>
          <w:i/>
          <w:iCs/>
          <w:sz w:val="20"/>
          <w:szCs w:val="20"/>
        </w:rPr>
        <w:t>Arganon Wedd</w:t>
      </w:r>
      <w:r w:rsidRPr="007E0C3D">
        <w:rPr>
          <w:rFonts w:ascii="Cambria" w:eastAsia="Calibri" w:hAnsi="Cambria" w:cs="Cambria"/>
          <w:i/>
          <w:iCs/>
          <w:sz w:val="20"/>
          <w:szCs w:val="20"/>
        </w:rPr>
        <w:t>ā</w:t>
      </w:r>
      <w:r w:rsidRPr="007E0C3D">
        <w:rPr>
          <w:rFonts w:ascii="Perpetua" w:eastAsia="Calibri" w:hAnsi="Perpetua" w:cs="Times New Roman"/>
          <w:i/>
          <w:iCs/>
          <w:sz w:val="20"/>
          <w:szCs w:val="20"/>
        </w:rPr>
        <w:t xml:space="preserve">se </w:t>
      </w:r>
      <w:r w:rsidRPr="007E0C3D">
        <w:rPr>
          <w:rFonts w:ascii="Perpetua" w:eastAsia="Calibri" w:hAnsi="Perpetua" w:cs="Times New Roman"/>
          <w:sz w:val="20"/>
          <w:szCs w:val="20"/>
        </w:rPr>
        <w:t xml:space="preserve">(“Harp of Praise”), a hymn in </w:t>
      </w:r>
      <w:r w:rsidRPr="007E0C3D">
        <w:rPr>
          <w:rFonts w:ascii="Perpetua" w:eastAsia="Calibri" w:hAnsi="Perpetua" w:cs="Times New Roman"/>
          <w:sz w:val="20"/>
          <w:szCs w:val="20"/>
        </w:rPr>
        <w:lastRenderedPageBreak/>
        <w:t xml:space="preserve">honor of the Virgin Mary, the </w:t>
      </w:r>
      <w:r w:rsidRPr="007E0C3D">
        <w:rPr>
          <w:rFonts w:ascii="Cambria" w:eastAsia="Calibri" w:hAnsi="Cambria" w:cs="Cambria"/>
          <w:i/>
          <w:iCs/>
          <w:sz w:val="20"/>
          <w:szCs w:val="20"/>
        </w:rPr>
        <w:t>Ḫ</w:t>
      </w:r>
      <w:r w:rsidRPr="007E0C3D">
        <w:rPr>
          <w:rFonts w:ascii="Perpetua" w:eastAsia="Calibri" w:hAnsi="Perpetua" w:cs="Times New Roman"/>
          <w:i/>
          <w:iCs/>
          <w:sz w:val="20"/>
          <w:szCs w:val="20"/>
        </w:rPr>
        <w:t>o</w:t>
      </w:r>
      <w:r w:rsidRPr="007E0C3D">
        <w:rPr>
          <w:rFonts w:ascii="Cambria" w:eastAsia="Calibri" w:hAnsi="Cambria" w:cs="Cambria"/>
          <w:i/>
          <w:iCs/>
          <w:sz w:val="20"/>
          <w:szCs w:val="20"/>
        </w:rPr>
        <w:t>ḫ</w:t>
      </w:r>
      <w:r w:rsidRPr="007E0C3D">
        <w:rPr>
          <w:rFonts w:ascii="Cambria" w:eastAsia="Calibri" w:hAnsi="Cambria" w:cs="Cambria"/>
          <w:i/>
          <w:iCs/>
          <w:sz w:val="20"/>
          <w:szCs w:val="20"/>
          <w:lang w:val="en-GB"/>
        </w:rPr>
        <w:t>ǝ</w:t>
      </w:r>
      <w:r w:rsidRPr="007E0C3D">
        <w:rPr>
          <w:rFonts w:ascii="Perpetua" w:eastAsia="Calibri" w:hAnsi="Perpetua" w:cs="Times New Roman"/>
          <w:i/>
          <w:iCs/>
          <w:sz w:val="20"/>
          <w:szCs w:val="20"/>
        </w:rPr>
        <w:t>ta B</w:t>
      </w:r>
      <w:r w:rsidRPr="007E0C3D">
        <w:rPr>
          <w:rFonts w:ascii="Cambria" w:eastAsia="Calibri" w:hAnsi="Cambria" w:cs="Cambria"/>
          <w:i/>
          <w:iCs/>
          <w:sz w:val="20"/>
          <w:szCs w:val="20"/>
        </w:rPr>
        <w:t>ǝ</w:t>
      </w:r>
      <w:r w:rsidRPr="007E0C3D">
        <w:rPr>
          <w:rFonts w:ascii="Perpetua" w:eastAsia="Calibri" w:hAnsi="Perpetua" w:cs="Times New Roman"/>
          <w:i/>
          <w:iCs/>
          <w:sz w:val="20"/>
          <w:szCs w:val="20"/>
        </w:rPr>
        <w:t>rh</w:t>
      </w:r>
      <w:r w:rsidRPr="007E0C3D">
        <w:rPr>
          <w:rFonts w:ascii="Cambria" w:eastAsia="Calibri" w:hAnsi="Cambria" w:cs="Cambria"/>
          <w:i/>
          <w:iCs/>
          <w:sz w:val="20"/>
          <w:szCs w:val="20"/>
        </w:rPr>
        <w:t>ā</w:t>
      </w:r>
      <w:r w:rsidRPr="007E0C3D">
        <w:rPr>
          <w:rFonts w:ascii="Perpetua" w:eastAsia="Calibri" w:hAnsi="Perpetua" w:cs="Times New Roman"/>
          <w:i/>
          <w:iCs/>
          <w:sz w:val="20"/>
          <w:szCs w:val="20"/>
        </w:rPr>
        <w:t>n</w:t>
      </w:r>
      <w:r w:rsidRPr="007E0C3D">
        <w:rPr>
          <w:rFonts w:ascii="Perpetua" w:eastAsia="Calibri" w:hAnsi="Perpetua" w:cs="Times New Roman"/>
          <w:sz w:val="20"/>
          <w:szCs w:val="20"/>
        </w:rPr>
        <w:t xml:space="preserve"> (“Portal of Light”), the </w:t>
      </w:r>
      <w:r w:rsidRPr="007E0C3D">
        <w:rPr>
          <w:rFonts w:ascii="Perpetua" w:eastAsia="Calibri" w:hAnsi="Perpetua" w:cs="Times New Roman"/>
          <w:i/>
          <w:iCs/>
          <w:sz w:val="20"/>
          <w:szCs w:val="20"/>
        </w:rPr>
        <w:t>W</w:t>
      </w:r>
      <w:r w:rsidRPr="007E0C3D">
        <w:rPr>
          <w:rFonts w:ascii="Cambria" w:eastAsia="Calibri" w:hAnsi="Cambria" w:cs="Cambria"/>
          <w:i/>
          <w:iCs/>
          <w:sz w:val="20"/>
          <w:szCs w:val="20"/>
        </w:rPr>
        <w:t>ǝ</w:t>
      </w:r>
      <w:r w:rsidRPr="007E0C3D">
        <w:rPr>
          <w:rFonts w:ascii="Perpetua" w:eastAsia="Calibri" w:hAnsi="Perpetua" w:cs="Times New Roman"/>
          <w:i/>
          <w:iCs/>
          <w:sz w:val="20"/>
          <w:szCs w:val="20"/>
        </w:rPr>
        <w:t>dd</w:t>
      </w:r>
      <w:r w:rsidRPr="007E0C3D">
        <w:rPr>
          <w:rFonts w:ascii="Cambria" w:eastAsia="Calibri" w:hAnsi="Cambria" w:cs="Cambria"/>
          <w:i/>
          <w:iCs/>
          <w:sz w:val="20"/>
          <w:szCs w:val="20"/>
        </w:rPr>
        <w:t>ā</w:t>
      </w:r>
      <w:r w:rsidRPr="007E0C3D">
        <w:rPr>
          <w:rFonts w:ascii="Perpetua" w:eastAsia="Calibri" w:hAnsi="Perpetua" w:cs="Times New Roman"/>
          <w:i/>
          <w:iCs/>
          <w:sz w:val="20"/>
          <w:szCs w:val="20"/>
        </w:rPr>
        <w:t>se Masqal</w:t>
      </w:r>
      <w:r w:rsidRPr="007E0C3D">
        <w:rPr>
          <w:rFonts w:ascii="Perpetua" w:eastAsia="Calibri" w:hAnsi="Perpetua" w:cs="Times New Roman"/>
          <w:sz w:val="20"/>
          <w:szCs w:val="20"/>
        </w:rPr>
        <w:t xml:space="preserve"> (“Praise of the Cross”), a hymn in honor of the cross. </w:t>
      </w:r>
    </w:p>
    <w:p w14:paraId="138133EB" w14:textId="77777777" w:rsidR="007E0C3D" w:rsidRPr="007E0C3D" w:rsidRDefault="007E0C3D" w:rsidP="007E0C3D">
      <w:pPr>
        <w:spacing w:after="0" w:line="240" w:lineRule="auto"/>
        <w:jc w:val="both"/>
        <w:rPr>
          <w:rFonts w:ascii="Perpetua" w:eastAsia="Calibri" w:hAnsi="Perpetua" w:cs="Times New Roman"/>
          <w:sz w:val="20"/>
          <w:szCs w:val="20"/>
        </w:rPr>
      </w:pPr>
      <w:r w:rsidRPr="007E0C3D">
        <w:rPr>
          <w:rFonts w:ascii="Perpetua" w:eastAsia="Calibri" w:hAnsi="Perpetua" w:cs="Times New Roman"/>
          <w:sz w:val="20"/>
          <w:szCs w:val="20"/>
        </w:rPr>
        <w:tab/>
        <w:t xml:space="preserve">After his tenure at Lake Hayq, Giyorgis lived at the Debre Damo monastery where he eventually served as the Nebura Ed (“Chief Abbot”). Giyorgis educated the children of Emperor Dawit I (1382-1413 CE) and enjoyed the support of the Emperor for many years. However, this dynamic shifted when a theologian named Bitu began to teach a dissident theology from that of Giyorgis. Dawit eventually favored Bitu and the tension between the two theologians resulted in the imprisonment of Giyorgis. The </w:t>
      </w:r>
      <w:r w:rsidRPr="007E0C3D">
        <w:rPr>
          <w:rFonts w:ascii="Perpetua" w:eastAsia="Calibri" w:hAnsi="Perpetua" w:cs="Times New Roman"/>
          <w:i/>
          <w:iCs/>
          <w:sz w:val="20"/>
          <w:szCs w:val="20"/>
        </w:rPr>
        <w:t>Gadla Giyorgis</w:t>
      </w:r>
      <w:r w:rsidRPr="007E0C3D">
        <w:rPr>
          <w:rFonts w:ascii="Perpetua" w:eastAsia="Calibri" w:hAnsi="Perpetua" w:cs="Times New Roman"/>
          <w:sz w:val="20"/>
          <w:szCs w:val="20"/>
        </w:rPr>
        <w:t xml:space="preserve"> claimed that Giyorgis’ imprisonment was due to false claims by Bitu that Giyorgis called the emperor a heretic. </w:t>
      </w:r>
    </w:p>
    <w:p w14:paraId="5EB17D76" w14:textId="77777777" w:rsidR="007E0C3D" w:rsidRPr="007E0C3D" w:rsidRDefault="007E0C3D" w:rsidP="007E0C3D">
      <w:pPr>
        <w:spacing w:after="0" w:line="240" w:lineRule="auto"/>
        <w:ind w:firstLine="432"/>
        <w:jc w:val="both"/>
        <w:rPr>
          <w:rFonts w:ascii="Perpetua" w:eastAsia="Calibri" w:hAnsi="Perpetua" w:cs="Times New Roman"/>
          <w:sz w:val="20"/>
          <w:szCs w:val="20"/>
        </w:rPr>
      </w:pPr>
      <w:r w:rsidRPr="007E0C3D">
        <w:rPr>
          <w:rFonts w:ascii="Perpetua" w:eastAsia="Calibri" w:hAnsi="Perpetua" w:cs="Times New Roman"/>
          <w:sz w:val="20"/>
          <w:szCs w:val="20"/>
        </w:rPr>
        <w:t xml:space="preserve">During the time of Emperor Tewodros (1413-1414 CE) and Emperor Yeshaq (1414-1429 CE), Giyorgis was freed from prison and Bitu was struck dead by </w:t>
      </w:r>
      <w:r w:rsidRPr="007E0C3D">
        <w:rPr>
          <w:rFonts w:ascii="Times New Roman" w:eastAsia="Calibri" w:hAnsi="Times New Roman" w:cs="Times New Roman"/>
          <w:i/>
          <w:iCs/>
          <w:sz w:val="20"/>
          <w:szCs w:val="20"/>
        </w:rPr>
        <w:t>ʾ</w:t>
      </w:r>
      <w:r w:rsidRPr="007E0C3D">
        <w:rPr>
          <w:rFonts w:ascii="Cambria" w:eastAsia="Calibri" w:hAnsi="Cambria" w:cs="Cambria"/>
          <w:i/>
          <w:iCs/>
          <w:sz w:val="20"/>
          <w:szCs w:val="20"/>
        </w:rPr>
        <w:t>Ǝ</w:t>
      </w:r>
      <w:r w:rsidRPr="007E0C3D">
        <w:rPr>
          <w:rFonts w:ascii="Perpetua" w:eastAsia="Calibri" w:hAnsi="Perpetua" w:cs="Times New Roman"/>
          <w:i/>
          <w:iCs/>
          <w:sz w:val="20"/>
          <w:szCs w:val="20"/>
        </w:rPr>
        <w:t>gzi</w:t>
      </w:r>
      <w:r w:rsidRPr="007E0C3D">
        <w:rPr>
          <w:rFonts w:ascii="Times New Roman" w:eastAsia="Calibri" w:hAnsi="Times New Roman" w:cs="Times New Roman"/>
          <w:i/>
          <w:iCs/>
          <w:sz w:val="20"/>
          <w:szCs w:val="20"/>
        </w:rPr>
        <w:t>ʾ</w:t>
      </w:r>
      <w:r w:rsidRPr="007E0C3D">
        <w:rPr>
          <w:rFonts w:ascii="Perpetua" w:eastAsia="Calibri" w:hAnsi="Perpetua" w:cs="Times New Roman"/>
          <w:i/>
          <w:iCs/>
          <w:sz w:val="20"/>
          <w:szCs w:val="20"/>
        </w:rPr>
        <w:t>ab</w:t>
      </w:r>
      <w:r w:rsidRPr="007E0C3D">
        <w:rPr>
          <w:rFonts w:ascii="Cambria" w:eastAsia="Calibri" w:hAnsi="Cambria" w:cs="Cambria"/>
          <w:i/>
          <w:iCs/>
          <w:sz w:val="20"/>
          <w:szCs w:val="20"/>
        </w:rPr>
        <w:t>ḥ</w:t>
      </w:r>
      <w:r w:rsidRPr="007E0C3D">
        <w:rPr>
          <w:rFonts w:ascii="Perpetua" w:eastAsia="Calibri" w:hAnsi="Perpetua" w:cs="Times New Roman"/>
          <w:i/>
          <w:iCs/>
          <w:sz w:val="20"/>
          <w:szCs w:val="20"/>
        </w:rPr>
        <w:t>er.</w:t>
      </w:r>
      <w:r w:rsidRPr="007E0C3D">
        <w:rPr>
          <w:rFonts w:ascii="Perpetua" w:eastAsia="Calibri" w:hAnsi="Perpetua" w:cs="Times New Roman"/>
          <w:sz w:val="20"/>
          <w:szCs w:val="20"/>
        </w:rPr>
        <w:t xml:space="preserve"> Giyorgis then continued the ascetic lifestyle at the famed Debra Damo monastery for a time and was then sent to Debra Libanos by Emperor Yeshaq. Much of Ethiopia was embroiled in a theological controversy regarding Sabbath observance during this time. The community of Debra Libanos embraced an opposing view of that of Giyorgis, which led to his departure from this monastic community. Giyorgis entered and eventually became the head of another monastery during the last years of his life. </w:t>
      </w:r>
    </w:p>
    <w:p w14:paraId="5A26EF75" w14:textId="77777777" w:rsidR="007E0C3D" w:rsidRPr="007E0C3D" w:rsidRDefault="007E0C3D" w:rsidP="007E0C3D">
      <w:pPr>
        <w:spacing w:after="0" w:line="240" w:lineRule="auto"/>
        <w:ind w:firstLine="432"/>
        <w:jc w:val="both"/>
        <w:rPr>
          <w:rFonts w:ascii="Perpetua" w:eastAsia="Calibri" w:hAnsi="Perpetua" w:cs="Times New Roman"/>
          <w:sz w:val="20"/>
          <w:szCs w:val="20"/>
        </w:rPr>
      </w:pPr>
      <w:r w:rsidRPr="007E0C3D">
        <w:rPr>
          <w:rFonts w:ascii="Perpetua" w:eastAsia="Calibri" w:hAnsi="Perpetua" w:cs="Times New Roman"/>
          <w:sz w:val="20"/>
          <w:szCs w:val="20"/>
        </w:rPr>
        <w:t xml:space="preserve">Giyorgis became ill and died at 60 years old. It was during these years that he composed the </w:t>
      </w:r>
      <w:r w:rsidRPr="007E0C3D">
        <w:rPr>
          <w:rFonts w:ascii="Perpetua" w:eastAsia="Calibri" w:hAnsi="Perpetua" w:cs="Times New Roman"/>
          <w:i/>
          <w:iCs/>
          <w:color w:val="000000"/>
          <w:sz w:val="20"/>
          <w:szCs w:val="20"/>
        </w:rPr>
        <w:t>Ma</w:t>
      </w:r>
      <w:r w:rsidRPr="007E0C3D">
        <w:rPr>
          <w:rFonts w:ascii="Cambria" w:eastAsia="Calibri" w:hAnsi="Cambria" w:cs="Cambria"/>
          <w:i/>
          <w:iCs/>
          <w:color w:val="000000"/>
          <w:sz w:val="20"/>
          <w:szCs w:val="20"/>
          <w:shd w:val="clear" w:color="auto" w:fill="FFFFFF"/>
        </w:rPr>
        <w:t>ṣ</w:t>
      </w:r>
      <w:r w:rsidRPr="007E0C3D">
        <w:rPr>
          <w:rFonts w:ascii="Cambria" w:eastAsia="Calibri" w:hAnsi="Cambria" w:cs="Cambria"/>
          <w:i/>
          <w:iCs/>
          <w:color w:val="202124"/>
          <w:sz w:val="20"/>
          <w:szCs w:val="20"/>
          <w:shd w:val="clear" w:color="auto" w:fill="FFFFFF"/>
        </w:rPr>
        <w:t>ḥ</w:t>
      </w:r>
      <w:r w:rsidRPr="007E0C3D">
        <w:rPr>
          <w:rFonts w:ascii="Perpetua" w:eastAsia="Calibri" w:hAnsi="Perpetua" w:cs="Times New Roman"/>
          <w:i/>
          <w:iCs/>
          <w:color w:val="000000"/>
          <w:sz w:val="20"/>
          <w:szCs w:val="20"/>
        </w:rPr>
        <w:t>afa M</w:t>
      </w:r>
      <w:r w:rsidRPr="007E0C3D">
        <w:rPr>
          <w:rFonts w:ascii="Cambria" w:eastAsia="Calibri" w:hAnsi="Cambria" w:cs="Cambria"/>
          <w:i/>
          <w:iCs/>
          <w:color w:val="000000"/>
          <w:sz w:val="20"/>
          <w:szCs w:val="20"/>
        </w:rPr>
        <w:t>ǝ</w:t>
      </w:r>
      <w:r w:rsidRPr="007E0C3D">
        <w:rPr>
          <w:rFonts w:ascii="Perpetua" w:eastAsia="Calibri" w:hAnsi="Perpetua" w:cs="Times New Roman"/>
          <w:i/>
          <w:iCs/>
          <w:color w:val="000000"/>
          <w:sz w:val="20"/>
          <w:szCs w:val="20"/>
        </w:rPr>
        <w:t>s</w:t>
      </w:r>
      <w:r w:rsidRPr="007E0C3D">
        <w:rPr>
          <w:rFonts w:ascii="Cambria" w:eastAsia="Calibri" w:hAnsi="Cambria" w:cs="Cambria"/>
          <w:i/>
          <w:iCs/>
          <w:color w:val="000000"/>
          <w:sz w:val="20"/>
          <w:szCs w:val="20"/>
          <w:shd w:val="clear" w:color="auto" w:fill="FFFFFF"/>
        </w:rPr>
        <w:t>ṭ</w:t>
      </w:r>
      <w:r w:rsidRPr="007E0C3D">
        <w:rPr>
          <w:rFonts w:ascii="Perpetua" w:eastAsia="Calibri" w:hAnsi="Perpetua" w:cs="Times New Roman"/>
          <w:i/>
          <w:iCs/>
          <w:color w:val="000000"/>
          <w:sz w:val="20"/>
          <w:szCs w:val="20"/>
        </w:rPr>
        <w:t>ir</w:t>
      </w:r>
      <w:r w:rsidRPr="007E0C3D">
        <w:rPr>
          <w:rFonts w:ascii="Perpetua" w:eastAsia="Calibri" w:hAnsi="Perpetua" w:cs="Times New Roman"/>
          <w:sz w:val="20"/>
          <w:szCs w:val="20"/>
        </w:rPr>
        <w:t xml:space="preserve"> with the aid of multiple scribes. He was buried in a church that he built in anticipation of his death, at the site of the martyrdom of the Ethiopian saint, </w:t>
      </w:r>
      <w:r w:rsidRPr="007E0C3D">
        <w:rPr>
          <w:rFonts w:ascii="Times New Roman" w:eastAsia="Calibri" w:hAnsi="Times New Roman" w:cs="Times New Roman"/>
          <w:color w:val="222222"/>
          <w:sz w:val="20"/>
          <w:szCs w:val="20"/>
          <w:shd w:val="clear" w:color="auto" w:fill="FFFFFF"/>
        </w:rPr>
        <w:t>ʾ</w:t>
      </w:r>
      <w:r w:rsidRPr="007E0C3D">
        <w:rPr>
          <w:rFonts w:ascii="Perpetua" w:eastAsia="Calibri" w:hAnsi="Perpetua" w:cs="Times New Roman"/>
          <w:color w:val="222222"/>
          <w:sz w:val="20"/>
          <w:szCs w:val="20"/>
          <w:shd w:val="clear" w:color="auto" w:fill="FFFFFF"/>
        </w:rPr>
        <w:t>Abba Ba</w:t>
      </w:r>
      <w:r w:rsidRPr="007E0C3D">
        <w:rPr>
          <w:rFonts w:ascii="Cambria" w:eastAsia="Calibri" w:hAnsi="Cambria" w:cs="Cambria"/>
          <w:color w:val="040C28"/>
          <w:sz w:val="20"/>
          <w:szCs w:val="20"/>
        </w:rPr>
        <w:t>ṣ</w:t>
      </w:r>
      <w:r w:rsidRPr="007E0C3D">
        <w:rPr>
          <w:rFonts w:ascii="Perpetua" w:eastAsia="Calibri" w:hAnsi="Perpetua" w:cs="Times New Roman"/>
          <w:color w:val="222222"/>
          <w:sz w:val="20"/>
          <w:szCs w:val="20"/>
          <w:shd w:val="clear" w:color="auto" w:fill="FFFFFF"/>
        </w:rPr>
        <w:t>lotä Mika</w:t>
      </w:r>
      <w:r w:rsidRPr="007E0C3D">
        <w:rPr>
          <w:rFonts w:ascii="Times New Roman" w:eastAsia="Calibri" w:hAnsi="Times New Roman" w:cs="Times New Roman"/>
          <w:color w:val="222222"/>
          <w:sz w:val="20"/>
          <w:szCs w:val="20"/>
          <w:shd w:val="clear" w:color="auto" w:fill="FFFFFF"/>
        </w:rPr>
        <w:t>ʾ</w:t>
      </w:r>
      <w:r w:rsidRPr="007E0C3D">
        <w:rPr>
          <w:rFonts w:ascii="Perpetua" w:eastAsia="Calibri" w:hAnsi="Perpetua" w:cs="Times New Roman"/>
          <w:color w:val="222222"/>
          <w:sz w:val="20"/>
          <w:szCs w:val="20"/>
          <w:shd w:val="clear" w:color="auto" w:fill="FFFFFF"/>
        </w:rPr>
        <w:t xml:space="preserve">eyl. He died in the year 1424 CE during the reign of Emperor Yeshaq. </w:t>
      </w:r>
    </w:p>
    <w:p w14:paraId="22BD424F" w14:textId="77777777" w:rsidR="007E0C3D" w:rsidRPr="007E0C3D" w:rsidRDefault="007E0C3D" w:rsidP="007E0C3D">
      <w:pPr>
        <w:spacing w:after="0" w:line="240" w:lineRule="auto"/>
        <w:jc w:val="both"/>
        <w:rPr>
          <w:rFonts w:ascii="Perpetua" w:eastAsia="Calibri" w:hAnsi="Perpetua" w:cs="Times New Roman"/>
          <w:sz w:val="20"/>
          <w:szCs w:val="20"/>
        </w:rPr>
      </w:pPr>
    </w:p>
    <w:p w14:paraId="51A58C44" w14:textId="77777777" w:rsidR="007E0C3D" w:rsidRPr="007E0C3D" w:rsidRDefault="007E0C3D" w:rsidP="007E0C3D">
      <w:pPr>
        <w:spacing w:after="0" w:line="240" w:lineRule="auto"/>
        <w:jc w:val="both"/>
        <w:rPr>
          <w:rFonts w:ascii="Perpetua" w:eastAsia="Calibri" w:hAnsi="Perpetua" w:cs="Times New Roman"/>
          <w:sz w:val="20"/>
          <w:szCs w:val="20"/>
        </w:rPr>
      </w:pPr>
      <w:r w:rsidRPr="007E0C3D">
        <w:rPr>
          <w:rFonts w:ascii="Perpetua" w:eastAsia="Calibri" w:hAnsi="Perpetua" w:cs="Times New Roman"/>
          <w:sz w:val="20"/>
          <w:szCs w:val="20"/>
        </w:rPr>
        <w:t>Vince L. Bantu</w:t>
      </w:r>
    </w:p>
    <w:p w14:paraId="5702F60D" w14:textId="77777777" w:rsidR="007E0C3D" w:rsidRPr="007E0C3D" w:rsidRDefault="007E0C3D" w:rsidP="007E0C3D">
      <w:pPr>
        <w:spacing w:after="0" w:line="240" w:lineRule="auto"/>
        <w:jc w:val="both"/>
        <w:rPr>
          <w:rFonts w:ascii="Perpetua" w:eastAsia="Calibri" w:hAnsi="Perpetua" w:cs="Times New Roman"/>
          <w:sz w:val="20"/>
          <w:szCs w:val="20"/>
        </w:rPr>
      </w:pPr>
    </w:p>
    <w:p w14:paraId="16655F91" w14:textId="77777777" w:rsidR="00DE4F60" w:rsidRDefault="00DE4F60" w:rsidP="007E0C3D">
      <w:pPr>
        <w:spacing w:after="0" w:line="240" w:lineRule="auto"/>
        <w:jc w:val="both"/>
        <w:rPr>
          <w:rFonts w:ascii="Perpetua" w:eastAsia="Calibri" w:hAnsi="Perpetua" w:cs="Times New Roman"/>
          <w:sz w:val="20"/>
          <w:szCs w:val="20"/>
        </w:rPr>
      </w:pPr>
      <w:r>
        <w:rPr>
          <w:rFonts w:ascii="Perpetua" w:eastAsia="Calibri" w:hAnsi="Perpetua" w:cs="Times New Roman"/>
          <w:b/>
          <w:bCs/>
          <w:sz w:val="20"/>
          <w:szCs w:val="20"/>
        </w:rPr>
        <w:t>Sources</w:t>
      </w:r>
      <w:r w:rsidR="007E0C3D" w:rsidRPr="007E0C3D">
        <w:rPr>
          <w:rFonts w:ascii="Perpetua" w:eastAsia="Calibri" w:hAnsi="Perpetua" w:cs="Times New Roman"/>
          <w:sz w:val="20"/>
          <w:szCs w:val="20"/>
        </w:rPr>
        <w:t>:</w:t>
      </w:r>
    </w:p>
    <w:p w14:paraId="2A319439" w14:textId="77777777" w:rsidR="00DE4F60" w:rsidRDefault="00DE4F60" w:rsidP="007E0C3D">
      <w:pPr>
        <w:spacing w:after="0" w:line="240" w:lineRule="auto"/>
        <w:jc w:val="both"/>
        <w:rPr>
          <w:rFonts w:ascii="Perpetua" w:eastAsia="Calibri" w:hAnsi="Perpetua" w:cs="Times New Roman"/>
          <w:sz w:val="20"/>
          <w:szCs w:val="20"/>
        </w:rPr>
      </w:pPr>
    </w:p>
    <w:p w14:paraId="6C49BE89" w14:textId="77777777" w:rsidR="00DE4F60" w:rsidRDefault="00DE4F60" w:rsidP="00DE4F60">
      <w:pPr>
        <w:spacing w:after="0" w:line="240" w:lineRule="auto"/>
        <w:ind w:left="432" w:hanging="432"/>
        <w:jc w:val="both"/>
        <w:rPr>
          <w:rFonts w:ascii="Perpetua" w:eastAsia="Calibri" w:hAnsi="Perpetua" w:cs="Times New Roman"/>
          <w:sz w:val="20"/>
          <w:szCs w:val="20"/>
          <w:lang w:val="fr-FR"/>
        </w:rPr>
      </w:pPr>
      <w:r w:rsidRPr="00DE4F60">
        <w:rPr>
          <w:rFonts w:ascii="Perpetua" w:eastAsia="Calibri" w:hAnsi="Perpetua" w:cs="Times New Roman"/>
          <w:sz w:val="20"/>
          <w:szCs w:val="20"/>
        </w:rPr>
        <w:t xml:space="preserve">Giyorgis of Sagla, </w:t>
      </w:r>
      <w:r w:rsidRPr="00DE4F60">
        <w:rPr>
          <w:rFonts w:ascii="Perpetua" w:eastAsia="Calibri" w:hAnsi="Perpetua" w:cs="Times New Roman"/>
          <w:i/>
          <w:iCs/>
          <w:sz w:val="20"/>
          <w:szCs w:val="20"/>
        </w:rPr>
        <w:t>Ma</w:t>
      </w:r>
      <w:r w:rsidRPr="00DE4F60">
        <w:rPr>
          <w:rFonts w:ascii="Cambria" w:eastAsia="Calibri" w:hAnsi="Cambria" w:cs="Cambria"/>
          <w:i/>
          <w:iCs/>
          <w:sz w:val="20"/>
          <w:szCs w:val="20"/>
        </w:rPr>
        <w:t>ṣḥ</w:t>
      </w:r>
      <w:r w:rsidRPr="00DE4F60">
        <w:rPr>
          <w:rFonts w:ascii="Perpetua" w:eastAsia="Calibri" w:hAnsi="Perpetua" w:cs="Times New Roman"/>
          <w:i/>
          <w:iCs/>
          <w:sz w:val="20"/>
          <w:szCs w:val="20"/>
        </w:rPr>
        <w:t>afa M</w:t>
      </w:r>
      <w:r w:rsidRPr="00DE4F60">
        <w:rPr>
          <w:rFonts w:ascii="Cambria" w:eastAsia="Calibri" w:hAnsi="Cambria" w:cs="Cambria"/>
          <w:i/>
          <w:iCs/>
          <w:sz w:val="20"/>
          <w:szCs w:val="20"/>
        </w:rPr>
        <w:t>ǝ</w:t>
      </w:r>
      <w:r w:rsidRPr="00DE4F60">
        <w:rPr>
          <w:rFonts w:ascii="Perpetua" w:eastAsia="Calibri" w:hAnsi="Perpetua" w:cs="Times New Roman"/>
          <w:i/>
          <w:iCs/>
          <w:sz w:val="20"/>
          <w:szCs w:val="20"/>
        </w:rPr>
        <w:t>s</w:t>
      </w:r>
      <w:r w:rsidRPr="00DE4F60">
        <w:rPr>
          <w:rFonts w:ascii="Cambria" w:eastAsia="Calibri" w:hAnsi="Cambria" w:cs="Cambria"/>
          <w:i/>
          <w:iCs/>
          <w:sz w:val="20"/>
          <w:szCs w:val="20"/>
        </w:rPr>
        <w:t>ṭ</w:t>
      </w:r>
      <w:r w:rsidRPr="00DE4F60">
        <w:rPr>
          <w:rFonts w:ascii="Perpetua" w:eastAsia="Calibri" w:hAnsi="Perpetua" w:cs="Times New Roman"/>
          <w:i/>
          <w:iCs/>
          <w:sz w:val="20"/>
          <w:szCs w:val="20"/>
        </w:rPr>
        <w:t>ir</w:t>
      </w:r>
      <w:r w:rsidRPr="00DE4F60">
        <w:rPr>
          <w:rFonts w:ascii="Perpetua" w:eastAsia="Calibri" w:hAnsi="Perpetua" w:cs="Times New Roman"/>
          <w:sz w:val="20"/>
          <w:szCs w:val="20"/>
        </w:rPr>
        <w:t xml:space="preserve"> (Book of Mystery), ed. </w:t>
      </w:r>
      <w:r w:rsidRPr="00DE4F60">
        <w:rPr>
          <w:rFonts w:ascii="Perpetua" w:eastAsia="Calibri" w:hAnsi="Perpetua" w:cs="Times New Roman"/>
          <w:sz w:val="20"/>
          <w:szCs w:val="20"/>
          <w:lang w:val="fr-FR"/>
        </w:rPr>
        <w:t>Yaqob Beyene, CSCO 515-516, 532-533, Scriptores aethiopici 89-90, 97-98 (Louvain : Secrétariat du SCO, 1990-1993).</w:t>
      </w:r>
    </w:p>
    <w:p w14:paraId="6690479F" w14:textId="3EBCCE79" w:rsidR="00DE4F60" w:rsidRPr="00C03E40" w:rsidRDefault="00DE4F60" w:rsidP="00DE4F60">
      <w:pPr>
        <w:spacing w:after="0" w:line="240" w:lineRule="auto"/>
        <w:ind w:left="432" w:hanging="432"/>
        <w:jc w:val="both"/>
        <w:rPr>
          <w:rFonts w:ascii="Perpetua" w:eastAsia="Calibri" w:hAnsi="Perpetua" w:cs="Times New Roman"/>
          <w:sz w:val="20"/>
          <w:szCs w:val="20"/>
        </w:rPr>
      </w:pPr>
      <w:r w:rsidRPr="00DE4F60">
        <w:rPr>
          <w:rFonts w:ascii="Perpetua" w:eastAsia="Calibri" w:hAnsi="Perpetua" w:cs="Times New Roman"/>
          <w:i/>
          <w:iCs/>
          <w:sz w:val="20"/>
          <w:szCs w:val="20"/>
          <w:lang w:val="fr-FR"/>
        </w:rPr>
        <w:t>Vie de Georges de Sagl</w:t>
      </w:r>
      <w:r w:rsidRPr="00DE4F60">
        <w:rPr>
          <w:rFonts w:ascii="Cambria" w:eastAsia="Calibri" w:hAnsi="Cambria" w:cs="Cambria"/>
          <w:i/>
          <w:iCs/>
          <w:sz w:val="20"/>
          <w:szCs w:val="20"/>
          <w:lang w:val="fr-FR"/>
        </w:rPr>
        <w:t>ā</w:t>
      </w:r>
      <w:r w:rsidRPr="00DE4F60">
        <w:rPr>
          <w:rFonts w:ascii="Perpetua" w:eastAsia="Calibri" w:hAnsi="Perpetua" w:cs="Times New Roman"/>
          <w:sz w:val="20"/>
          <w:szCs w:val="20"/>
          <w:lang w:val="fr-FR"/>
        </w:rPr>
        <w:t xml:space="preserve">, ed. </w:t>
      </w:r>
      <w:r w:rsidRPr="00C03E40">
        <w:rPr>
          <w:rFonts w:ascii="Perpetua" w:eastAsia="Calibri" w:hAnsi="Perpetua" w:cs="Times New Roman"/>
          <w:sz w:val="20"/>
          <w:szCs w:val="20"/>
        </w:rPr>
        <w:t>Gérard Colin, CSCO 492-493, Scriptores Aethiopici 81-82. (Louvain: Secrétariat du SCO, 1987).</w:t>
      </w:r>
    </w:p>
    <w:p w14:paraId="25AD8299" w14:textId="77777777" w:rsidR="00DE4F60" w:rsidRPr="00C03E40" w:rsidRDefault="00DE4F60" w:rsidP="00DE4F60">
      <w:pPr>
        <w:spacing w:after="0" w:line="240" w:lineRule="auto"/>
        <w:ind w:left="432" w:hanging="432"/>
        <w:jc w:val="both"/>
        <w:rPr>
          <w:rFonts w:ascii="Perpetua" w:eastAsia="Calibri" w:hAnsi="Perpetua" w:cs="Times New Roman"/>
          <w:sz w:val="20"/>
          <w:szCs w:val="20"/>
        </w:rPr>
      </w:pPr>
    </w:p>
    <w:p w14:paraId="27A63966" w14:textId="5651ACF7" w:rsidR="007E0C3D" w:rsidRPr="00C03E40" w:rsidRDefault="007E0C3D" w:rsidP="007E0C3D">
      <w:pPr>
        <w:spacing w:after="0" w:line="240" w:lineRule="auto"/>
        <w:jc w:val="both"/>
        <w:rPr>
          <w:rFonts w:ascii="Perpetua" w:eastAsia="Calibri" w:hAnsi="Perpetua" w:cs="Times New Roman"/>
          <w:sz w:val="20"/>
          <w:szCs w:val="20"/>
        </w:rPr>
      </w:pPr>
      <w:r w:rsidRPr="00C03E40">
        <w:rPr>
          <w:rFonts w:ascii="Perpetua" w:eastAsia="Calibri" w:hAnsi="Perpetua" w:cs="Times New Roman"/>
          <w:sz w:val="20"/>
          <w:szCs w:val="20"/>
        </w:rPr>
        <w:t xml:space="preserve"> </w:t>
      </w:r>
    </w:p>
    <w:p w14:paraId="54BCF8F2" w14:textId="7495CB5B" w:rsidR="00F461C4" w:rsidRPr="00F461C4" w:rsidRDefault="00F461C4" w:rsidP="00F461C4">
      <w:pPr>
        <w:spacing w:after="0" w:line="240" w:lineRule="auto"/>
        <w:jc w:val="both"/>
        <w:rPr>
          <w:rFonts w:ascii="Perpetua" w:eastAsia="Calibri" w:hAnsi="Perpetua" w:cs="Times New Roman"/>
          <w:sz w:val="20"/>
          <w:szCs w:val="20"/>
        </w:rPr>
      </w:pPr>
      <w:r>
        <w:rPr>
          <w:rFonts w:ascii="Perpetua" w:eastAsia="Calibri" w:hAnsi="Perpetua" w:cs="Times New Roman"/>
          <w:sz w:val="20"/>
          <w:szCs w:val="20"/>
        </w:rPr>
        <w:t xml:space="preserve">This biography, received in February 2024, was written by </w:t>
      </w:r>
      <w:r w:rsidR="00365B2D">
        <w:rPr>
          <w:rFonts w:ascii="Perpetua" w:eastAsia="Calibri" w:hAnsi="Perpetua" w:cs="Times New Roman"/>
          <w:sz w:val="20"/>
          <w:szCs w:val="20"/>
        </w:rPr>
        <w:t xml:space="preserve">Dr. </w:t>
      </w:r>
      <w:r w:rsidRPr="00F461C4">
        <w:rPr>
          <w:rFonts w:ascii="Perpetua" w:eastAsia="Calibri" w:hAnsi="Perpetua" w:cs="Times New Roman"/>
          <w:sz w:val="20"/>
          <w:szCs w:val="20"/>
        </w:rPr>
        <w:t>Vince L. Bantu</w:t>
      </w:r>
      <w:r w:rsidR="00365B2D">
        <w:rPr>
          <w:rFonts w:ascii="Perpetua" w:eastAsia="Calibri" w:hAnsi="Perpetua" w:cs="Times New Roman"/>
          <w:sz w:val="20"/>
          <w:szCs w:val="20"/>
        </w:rPr>
        <w:t>,</w:t>
      </w:r>
      <w:r w:rsidRPr="00F461C4">
        <w:rPr>
          <w:rFonts w:ascii="Perpetua" w:eastAsia="Calibri" w:hAnsi="Perpetua" w:cs="Times New Roman"/>
          <w:sz w:val="20"/>
          <w:szCs w:val="20"/>
        </w:rPr>
        <w:t xml:space="preserve"> the Ohene (President) of the Meachum School of Haymanot and Assistant Professor of Church History and Black Church Studies at Fuller Theological Seminary. </w:t>
      </w:r>
    </w:p>
    <w:p w14:paraId="2EF4CE61" w14:textId="70A7409D" w:rsidR="007E0C3D" w:rsidRPr="00C03E40" w:rsidRDefault="007E0C3D" w:rsidP="007E0C3D">
      <w:pPr>
        <w:spacing w:after="0" w:line="240" w:lineRule="auto"/>
        <w:jc w:val="both"/>
        <w:rPr>
          <w:rFonts w:ascii="Perpetua" w:eastAsia="Calibri" w:hAnsi="Perpetua" w:cs="Times New Roman"/>
          <w:sz w:val="20"/>
          <w:szCs w:val="20"/>
        </w:rPr>
      </w:pPr>
    </w:p>
    <w:bookmarkEnd w:id="6"/>
    <w:p w14:paraId="009E2E4B" w14:textId="77777777" w:rsidR="007E0C3D" w:rsidRPr="00C03E40" w:rsidRDefault="007E0C3D" w:rsidP="007E0C3D">
      <w:pPr>
        <w:spacing w:after="0" w:line="240" w:lineRule="auto"/>
        <w:jc w:val="both"/>
        <w:rPr>
          <w:rFonts w:ascii="Perpetua" w:eastAsia="Calibri" w:hAnsi="Perpetua" w:cs="Times New Roman"/>
          <w:sz w:val="20"/>
          <w:szCs w:val="20"/>
        </w:rPr>
      </w:pPr>
    </w:p>
    <w:p w14:paraId="3538FE02" w14:textId="77777777" w:rsidR="007E0C3D" w:rsidRPr="00C03E40" w:rsidRDefault="007E0C3D" w:rsidP="00CF3E88">
      <w:pPr>
        <w:spacing w:after="0" w:line="240" w:lineRule="auto"/>
        <w:jc w:val="both"/>
        <w:rPr>
          <w:rFonts w:ascii="Perpetua" w:eastAsia="Calibri" w:hAnsi="Perpetua" w:cs="Times New Roman"/>
          <w:sz w:val="20"/>
          <w:szCs w:val="20"/>
        </w:rPr>
      </w:pPr>
    </w:p>
    <w:p w14:paraId="59AEB7F3" w14:textId="77777777" w:rsidR="00385665" w:rsidRDefault="00385665">
      <w:pPr>
        <w:spacing w:after="0" w:line="240" w:lineRule="auto"/>
        <w:jc w:val="center"/>
        <w:rPr>
          <w:rFonts w:ascii="Perpetua" w:eastAsia="Times New Roman" w:hAnsi="Perpetua" w:cs="Times New Roman"/>
          <w:bCs/>
          <w:sz w:val="20"/>
          <w:szCs w:val="20"/>
        </w:rPr>
      </w:pPr>
      <w:r>
        <w:rPr>
          <w:rFonts w:ascii="Perpetua" w:hAnsi="Perpetua"/>
          <w:sz w:val="20"/>
          <w:szCs w:val="20"/>
        </w:rPr>
        <w:br w:type="page"/>
      </w:r>
    </w:p>
    <w:p w14:paraId="6F20DAB7" w14:textId="77777777" w:rsidR="00385665" w:rsidRPr="00385665" w:rsidRDefault="00385665" w:rsidP="00A5608B">
      <w:pPr>
        <w:pStyle w:val="DACBHeading1"/>
        <w:rPr>
          <w:rFonts w:eastAsia="Calibri"/>
        </w:rPr>
      </w:pPr>
      <w:bookmarkStart w:id="7" w:name="_Toc158365919"/>
      <w:r w:rsidRPr="00385665">
        <w:rPr>
          <w:rFonts w:eastAsia="Calibri"/>
        </w:rPr>
        <w:lastRenderedPageBreak/>
        <w:t>A Selection of Early Christian Figures from the DACB Collection, 1</w:t>
      </w:r>
      <w:r w:rsidRPr="00385665">
        <w:rPr>
          <w:rFonts w:eastAsia="Calibri"/>
          <w:vertAlign w:val="superscript"/>
        </w:rPr>
        <w:t>st</w:t>
      </w:r>
      <w:r w:rsidRPr="00385665">
        <w:rPr>
          <w:rFonts w:eastAsia="Calibri"/>
        </w:rPr>
        <w:t>-6</w:t>
      </w:r>
      <w:r w:rsidRPr="00385665">
        <w:rPr>
          <w:rFonts w:eastAsia="Calibri"/>
          <w:vertAlign w:val="superscript"/>
        </w:rPr>
        <w:t>th</w:t>
      </w:r>
      <w:r w:rsidRPr="00385665">
        <w:rPr>
          <w:rFonts w:eastAsia="Calibri"/>
        </w:rPr>
        <w:t xml:space="preserve"> c.</w:t>
      </w:r>
      <w:bookmarkEnd w:id="7"/>
    </w:p>
    <w:p w14:paraId="5A739C95"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p>
    <w:p w14:paraId="204AF4F2" w14:textId="77777777" w:rsidR="00385665" w:rsidRPr="00385665" w:rsidRDefault="00385665" w:rsidP="00385665">
      <w:pPr>
        <w:spacing w:after="0" w:line="240" w:lineRule="auto"/>
        <w:jc w:val="center"/>
        <w:rPr>
          <w:rFonts w:ascii="Perpetua" w:eastAsia="Calibri" w:hAnsi="Perpetua" w:cs="Times New Roman"/>
          <w:b/>
          <w:bCs/>
          <w:kern w:val="2"/>
          <w:sz w:val="24"/>
          <w:szCs w:val="24"/>
          <w14:ligatures w14:val="standardContextual"/>
        </w:rPr>
      </w:pPr>
      <w:r w:rsidRPr="00385665">
        <w:rPr>
          <w:rFonts w:ascii="Perpetua" w:eastAsia="Calibri" w:hAnsi="Perpetua" w:cs="Times New Roman"/>
          <w:b/>
          <w:bCs/>
          <w:kern w:val="2"/>
          <w:sz w:val="24"/>
          <w:szCs w:val="24"/>
          <w14:ligatures w14:val="standardContextual"/>
        </w:rPr>
        <w:t>First Century</w:t>
      </w:r>
    </w:p>
    <w:p w14:paraId="76A3A235"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7E92B13A"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Simon</w:t>
      </w:r>
    </w:p>
    <w:p w14:paraId="5CA60683"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1</w:t>
      </w:r>
      <w:r w:rsidRPr="00385665">
        <w:rPr>
          <w:rFonts w:ascii="Perpetua" w:eastAsia="Calibri" w:hAnsi="Perpetua" w:cs="Times New Roman"/>
          <w:b/>
          <w:bCs/>
          <w:kern w:val="2"/>
          <w:sz w:val="20"/>
          <w:szCs w:val="20"/>
          <w:vertAlign w:val="superscript"/>
          <w14:ligatures w14:val="standardContextual"/>
        </w:rPr>
        <w:t>st</w:t>
      </w:r>
      <w:r w:rsidRPr="00385665">
        <w:rPr>
          <w:rFonts w:ascii="Perpetua" w:eastAsia="Calibri" w:hAnsi="Perpetua" w:cs="Times New Roman"/>
          <w:b/>
          <w:bCs/>
          <w:kern w:val="2"/>
          <w:sz w:val="20"/>
          <w:szCs w:val="20"/>
          <w14:ligatures w14:val="standardContextual"/>
        </w:rPr>
        <w:t xml:space="preserve"> century</w:t>
      </w:r>
    </w:p>
    <w:p w14:paraId="6854C6F3"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Ancient Christian Church</w:t>
      </w:r>
    </w:p>
    <w:p w14:paraId="17613FAE"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Libya</w:t>
      </w:r>
    </w:p>
    <w:p w14:paraId="08D4C32A"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654FEAA3" w14:textId="2C7ED36B"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The very first African worthy of recollection in a “Dictionary of African Christian Biography” is the relatively unknown Simon of Cyrene</w:t>
      </w:r>
      <w:r w:rsidR="00365B2D">
        <w:rPr>
          <w:rFonts w:ascii="Perpetua" w:eastAsia="Calibri" w:hAnsi="Perpetua" w:cs="Times New Roman"/>
          <w:kern w:val="2"/>
          <w:sz w:val="20"/>
          <w:szCs w:val="20"/>
          <w14:ligatures w14:val="standardContextual"/>
        </w:rPr>
        <w:t>. He is remembered</w:t>
      </w:r>
      <w:r w:rsidRPr="00385665">
        <w:rPr>
          <w:rFonts w:ascii="Perpetua" w:eastAsia="Calibri" w:hAnsi="Perpetua" w:cs="Times New Roman"/>
          <w:kern w:val="2"/>
          <w:sz w:val="20"/>
          <w:szCs w:val="20"/>
          <w14:ligatures w14:val="standardContextual"/>
        </w:rPr>
        <w:t xml:space="preserve"> as the one compelled by the Roman authorities to assist in the crucifixion of Jesus by carrying His cross to the place of execution. We can interpolate, from the consistent Synoptic record of the presence of this person and by the gentilic which defines him, not merely his place of origin but also his relative age, and from his name itself that he was most probably a Hellenized Jew who had come to Jerusalem for the annual Passover festival.</w:t>
      </w:r>
    </w:p>
    <w:p w14:paraId="45E95AE3"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But it is also noteworthy, that, when the memory of this historical event from 7 April 30 A.D. was first structurally narrated at a time some three decades later by Mark the Evangelist, this same Simon was then uniquely identified by reference to his two sons, Alexander and Rufus (15:21; Carrington 1957: II. 206). Of these two the role of the former within the incipient Christian community cannot be certainly identified (though one might consult Acts 19:33 or 1 Timothy 1:20 or 2 Timothy 4:14), while that of the latter seems most likely among those now “eminent in the Lord” to be greeted at Rome (Romans 16:13; Carrington 1957: II. 150). A “Rufus,” identified only as “bishop of Thebes,” is included in the list of the “seventy” attributed to Hippolytus [ANF V (1885) 256].</w:t>
      </w:r>
    </w:p>
    <w:p w14:paraId="245090FB"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Whether identifiable or not, it is to be recalled that some like these three, along with a number of others from “those parts of Libya belonging to Cyrene” recorded among early Christians by Luke in the Acts of the Apostles (2:10), form a constituent core within the church of the first generation. That we learn so little more than names may be regrettable, but within that little, the brief memories and glimpses of family connections tell us something of how the faith came to be spread to another continent.</w:t>
      </w:r>
    </w:p>
    <w:p w14:paraId="41D6B0D8"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644B2921"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Clyde Curry Smith</w:t>
      </w:r>
    </w:p>
    <w:p w14:paraId="3275CEF3"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6C9112B2"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14872F60"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Supplementary Bibliography</w:t>
      </w:r>
    </w:p>
    <w:p w14:paraId="21314154"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p>
    <w:p w14:paraId="79A409FB" w14:textId="77777777" w:rsidR="00385665" w:rsidRPr="00385665" w:rsidRDefault="00385665" w:rsidP="00385665">
      <w:pPr>
        <w:spacing w:after="0" w:line="240" w:lineRule="auto"/>
        <w:ind w:left="432" w:hanging="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ANF V 1885 </w:t>
      </w:r>
      <w:r w:rsidRPr="00385665">
        <w:rPr>
          <w:rFonts w:ascii="Perpetua" w:eastAsia="Calibri" w:hAnsi="Perpetua" w:cs="Times New Roman"/>
          <w:i/>
          <w:iCs/>
          <w:kern w:val="2"/>
          <w:sz w:val="20"/>
          <w:szCs w:val="20"/>
          <w14:ligatures w14:val="standardContextual"/>
        </w:rPr>
        <w:t>Hippolytus</w:t>
      </w:r>
      <w:r w:rsidRPr="00385665">
        <w:rPr>
          <w:rFonts w:ascii="Perpetua" w:eastAsia="Calibri" w:hAnsi="Perpetua" w:cs="Times New Roman"/>
          <w:kern w:val="2"/>
          <w:sz w:val="20"/>
          <w:szCs w:val="20"/>
          <w14:ligatures w14:val="standardContextual"/>
        </w:rPr>
        <w:t>, translated by Stewart Dingwall Fordyce Salmond, in </w:t>
      </w:r>
      <w:r w:rsidRPr="00385665">
        <w:rPr>
          <w:rFonts w:ascii="Perpetua" w:eastAsia="Calibri" w:hAnsi="Perpetua" w:cs="Times New Roman"/>
          <w:i/>
          <w:iCs/>
          <w:kern w:val="2"/>
          <w:sz w:val="20"/>
          <w:szCs w:val="20"/>
          <w14:ligatures w14:val="standardContextual"/>
        </w:rPr>
        <w:t>Ante-Nicene Fathers</w:t>
      </w:r>
      <w:r w:rsidRPr="00385665">
        <w:rPr>
          <w:rFonts w:ascii="Perpetua" w:eastAsia="Calibri" w:hAnsi="Perpetua" w:cs="Times New Roman"/>
          <w:kern w:val="2"/>
          <w:sz w:val="20"/>
          <w:szCs w:val="20"/>
          <w14:ligatures w14:val="standardContextual"/>
        </w:rPr>
        <w:t>. Buffalo and New York: Christian Literature. Volume V, pp. 255-256.</w:t>
      </w:r>
    </w:p>
    <w:p w14:paraId="251FD38D" w14:textId="77777777" w:rsidR="00385665" w:rsidRPr="00385665" w:rsidRDefault="00385665" w:rsidP="00385665">
      <w:pPr>
        <w:spacing w:after="0" w:line="240" w:lineRule="auto"/>
        <w:ind w:left="432" w:hanging="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lastRenderedPageBreak/>
        <w:t>Carrington 1957 </w:t>
      </w:r>
      <w:r w:rsidRPr="00385665">
        <w:rPr>
          <w:rFonts w:ascii="Perpetua" w:eastAsia="Calibri" w:hAnsi="Perpetua" w:cs="Times New Roman"/>
          <w:i/>
          <w:iCs/>
          <w:kern w:val="2"/>
          <w:sz w:val="20"/>
          <w:szCs w:val="20"/>
          <w14:ligatures w14:val="standardContextual"/>
        </w:rPr>
        <w:t>The Early Christian Church</w:t>
      </w:r>
      <w:r w:rsidRPr="00385665">
        <w:rPr>
          <w:rFonts w:ascii="Perpetua" w:eastAsia="Calibri" w:hAnsi="Perpetua" w:cs="Times New Roman"/>
          <w:kern w:val="2"/>
          <w:sz w:val="20"/>
          <w:szCs w:val="20"/>
          <w14:ligatures w14:val="standardContextual"/>
        </w:rPr>
        <w:t>, by Philip Carrington. Cambridge: At the University Press. 2 volumes.</w:t>
      </w:r>
    </w:p>
    <w:p w14:paraId="51039B51"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126A5D20"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15836148"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This article, received in 2001, was researched and written by Dr. Clyde Curry Smith, Professor Emeritus of Ancient History and Religion, University of Wisconsin, River Falls. Prof. Smith wrote more than sixty biographies of early Christian figures for the DACB, always choosing minor figures out of respect for African scholars who, he believed, should have the honor of writing the stories of the major figures.</w:t>
      </w:r>
    </w:p>
    <w:p w14:paraId="6C37B3A9"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2FF4568D"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______________________</w:t>
      </w:r>
    </w:p>
    <w:p w14:paraId="4BA93850"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35E22DC7"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41030788"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The Eunuch of Ethiopia</w:t>
      </w:r>
    </w:p>
    <w:p w14:paraId="2C44B6E3"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1</w:t>
      </w:r>
      <w:r w:rsidRPr="00385665">
        <w:rPr>
          <w:rFonts w:ascii="Perpetua" w:eastAsia="Calibri" w:hAnsi="Perpetua" w:cs="Times New Roman"/>
          <w:b/>
          <w:bCs/>
          <w:kern w:val="2"/>
          <w:sz w:val="20"/>
          <w:szCs w:val="20"/>
          <w:vertAlign w:val="superscript"/>
          <w14:ligatures w14:val="standardContextual"/>
        </w:rPr>
        <w:t>st</w:t>
      </w:r>
      <w:r w:rsidRPr="00385665">
        <w:rPr>
          <w:rFonts w:ascii="Perpetua" w:eastAsia="Calibri" w:hAnsi="Perpetua" w:cs="Times New Roman"/>
          <w:b/>
          <w:bCs/>
          <w:kern w:val="2"/>
          <w:sz w:val="20"/>
          <w:szCs w:val="20"/>
          <w14:ligatures w14:val="standardContextual"/>
        </w:rPr>
        <w:t xml:space="preserve"> century</w:t>
      </w:r>
    </w:p>
    <w:p w14:paraId="6328EB12"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Ancient Christian Church</w:t>
      </w:r>
    </w:p>
    <w:p w14:paraId="33CEEBC1"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Ethiopia</w:t>
      </w:r>
    </w:p>
    <w:p w14:paraId="24371944"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70D10A7C"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The Eunuch of Ethiopia, the treasurer of Queen Candace, was converted to Christianity through Philip the Deacon (Acts VIII, 26-40). Perhaps he was an “Ethiopian” Jew or an “Ethiopian” Jewish proselyte who had come to the Temple of Jerusalem to offer a gift. According to a tradition of the Ethiopian Church, he became the first Christian missionary to Ethiopia.</w:t>
      </w:r>
    </w:p>
    <w:p w14:paraId="1E8C2D83"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02BAB4D0"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Ephraim Isaac</w:t>
      </w:r>
    </w:p>
    <w:p w14:paraId="4FB74835"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4559FF62"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p>
    <w:p w14:paraId="28A73330"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Bibliography</w:t>
      </w:r>
    </w:p>
    <w:p w14:paraId="31637116"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4EF618C1" w14:textId="77777777" w:rsidR="00385665" w:rsidRPr="00385665" w:rsidRDefault="00385665" w:rsidP="00385665">
      <w:pPr>
        <w:spacing w:after="0" w:line="240" w:lineRule="auto"/>
        <w:ind w:left="432" w:hanging="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C. J. Cadbury and W. K. L. Clarke, </w:t>
      </w:r>
      <w:r w:rsidRPr="00385665">
        <w:rPr>
          <w:rFonts w:ascii="Perpetua" w:eastAsia="Calibri" w:hAnsi="Perpetua" w:cs="Times New Roman"/>
          <w:i/>
          <w:iCs/>
          <w:kern w:val="2"/>
          <w:sz w:val="20"/>
          <w:szCs w:val="20"/>
          <w14:ligatures w14:val="standardContextual"/>
        </w:rPr>
        <w:t>The Book of Acts in History</w:t>
      </w:r>
      <w:r w:rsidRPr="00385665">
        <w:rPr>
          <w:rFonts w:ascii="Perpetua" w:eastAsia="Calibri" w:hAnsi="Perpetua" w:cs="Times New Roman"/>
          <w:kern w:val="2"/>
          <w:sz w:val="20"/>
          <w:szCs w:val="20"/>
          <w14:ligatures w14:val="standardContextual"/>
        </w:rPr>
        <w:t> (London, 1955), 15-18.</w:t>
      </w:r>
    </w:p>
    <w:p w14:paraId="5220940E" w14:textId="77777777" w:rsidR="00385665" w:rsidRPr="00385665" w:rsidRDefault="00385665" w:rsidP="00385665">
      <w:pPr>
        <w:spacing w:after="0" w:line="240" w:lineRule="auto"/>
        <w:ind w:left="432" w:hanging="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J. Garstang, </w:t>
      </w:r>
      <w:r w:rsidRPr="00385665">
        <w:rPr>
          <w:rFonts w:ascii="Perpetua" w:eastAsia="Calibri" w:hAnsi="Perpetua" w:cs="Times New Roman"/>
          <w:i/>
          <w:iCs/>
          <w:kern w:val="2"/>
          <w:sz w:val="20"/>
          <w:szCs w:val="20"/>
          <w14:ligatures w14:val="standardContextual"/>
        </w:rPr>
        <w:t>Meroë, the City of the Ethiopians</w:t>
      </w:r>
      <w:r w:rsidRPr="00385665">
        <w:rPr>
          <w:rFonts w:ascii="Perpetua" w:eastAsia="Calibri" w:hAnsi="Perpetua" w:cs="Times New Roman"/>
          <w:kern w:val="2"/>
          <w:sz w:val="20"/>
          <w:szCs w:val="20"/>
          <w14:ligatures w14:val="standardContextual"/>
        </w:rPr>
        <w:t> (Oxford, 1911).</w:t>
      </w:r>
    </w:p>
    <w:p w14:paraId="46DCC529" w14:textId="77777777" w:rsidR="00385665" w:rsidRPr="00385665" w:rsidRDefault="00385665" w:rsidP="00385665">
      <w:pPr>
        <w:spacing w:after="0" w:line="240" w:lineRule="auto"/>
        <w:ind w:left="432" w:hanging="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E. Ullendorff, “Candace (Acts VIII, 27) and the Queen of Sheba,” </w:t>
      </w:r>
      <w:r w:rsidRPr="00385665">
        <w:rPr>
          <w:rFonts w:ascii="Perpetua" w:eastAsia="Calibri" w:hAnsi="Perpetua" w:cs="Times New Roman"/>
          <w:i/>
          <w:iCs/>
          <w:kern w:val="2"/>
          <w:sz w:val="20"/>
          <w:szCs w:val="20"/>
          <w14:ligatures w14:val="standardContextual"/>
        </w:rPr>
        <w:t>Journal of New Testament Studies</w:t>
      </w:r>
      <w:r w:rsidRPr="00385665">
        <w:rPr>
          <w:rFonts w:ascii="Perpetua" w:eastAsia="Calibri" w:hAnsi="Perpetua" w:cs="Times New Roman"/>
          <w:kern w:val="2"/>
          <w:sz w:val="20"/>
          <w:szCs w:val="20"/>
          <w14:ligatures w14:val="standardContextual"/>
        </w:rPr>
        <w:t>, Vol. II (1955).</w:t>
      </w:r>
    </w:p>
    <w:p w14:paraId="1E849B33"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6042BD2E"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7B607CC0"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This article is reproduced, with permission, from </w:t>
      </w:r>
      <w:r w:rsidRPr="00385665">
        <w:rPr>
          <w:rFonts w:ascii="Perpetua" w:eastAsia="Calibri" w:hAnsi="Perpetua" w:cs="Times New Roman"/>
          <w:i/>
          <w:iCs/>
          <w:kern w:val="2"/>
          <w:sz w:val="20"/>
          <w:szCs w:val="20"/>
          <w14:ligatures w14:val="standardContextual"/>
        </w:rPr>
        <w:t>The Dictionary of Ethiopian Biography, Vol. 1 ‘From Early Times to the End of the Zagwé Dynasty c. 1270 A.D.,’</w:t>
      </w:r>
      <w:r w:rsidRPr="00385665">
        <w:rPr>
          <w:rFonts w:ascii="Perpetua" w:eastAsia="Calibri" w:hAnsi="Perpetua" w:cs="Times New Roman"/>
          <w:kern w:val="2"/>
          <w:sz w:val="20"/>
          <w:szCs w:val="20"/>
          <w14:ligatures w14:val="standardContextual"/>
        </w:rPr>
        <w:t> copyright © 1975, edited by Belaynesh Michael, S. Chojnacki and Richard Pankhurst, Institute of Ethiopian Studies, Addis Ababa, Ethiopia. All rights reserved.</w:t>
      </w:r>
    </w:p>
    <w:p w14:paraId="3F9ED94C"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4C0302B7"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2A8BF29C"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_________________________</w:t>
      </w:r>
    </w:p>
    <w:p w14:paraId="55E71320"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1CD5A545" w14:textId="3C15EECF" w:rsidR="00385665" w:rsidRPr="00385665" w:rsidRDefault="00385665" w:rsidP="00385665">
      <w:pPr>
        <w:spacing w:after="0" w:line="240" w:lineRule="auto"/>
        <w:jc w:val="center"/>
        <w:rPr>
          <w:rFonts w:ascii="Perpetua" w:eastAsia="Calibri" w:hAnsi="Perpetua" w:cs="Times New Roman"/>
          <w:b/>
          <w:bCs/>
          <w:kern w:val="2"/>
          <w:sz w:val="24"/>
          <w:szCs w:val="24"/>
          <w14:ligatures w14:val="standardContextual"/>
        </w:rPr>
      </w:pPr>
      <w:r w:rsidRPr="00385665">
        <w:rPr>
          <w:rFonts w:ascii="Perpetua" w:eastAsia="Calibri" w:hAnsi="Perpetua" w:cs="Times New Roman"/>
          <w:b/>
          <w:bCs/>
          <w:kern w:val="2"/>
          <w:sz w:val="24"/>
          <w:szCs w:val="24"/>
          <w14:ligatures w14:val="standardContextual"/>
        </w:rPr>
        <w:lastRenderedPageBreak/>
        <w:t>2</w:t>
      </w:r>
      <w:r w:rsidRPr="00385665">
        <w:rPr>
          <w:rFonts w:ascii="Perpetua" w:eastAsia="Calibri" w:hAnsi="Perpetua" w:cs="Times New Roman"/>
          <w:b/>
          <w:bCs/>
          <w:kern w:val="2"/>
          <w:sz w:val="24"/>
          <w:szCs w:val="24"/>
          <w:vertAlign w:val="superscript"/>
          <w14:ligatures w14:val="standardContextual"/>
        </w:rPr>
        <w:t>nd</w:t>
      </w:r>
      <w:r w:rsidRPr="00385665">
        <w:rPr>
          <w:rFonts w:ascii="Perpetua" w:eastAsia="Calibri" w:hAnsi="Perpetua" w:cs="Times New Roman"/>
          <w:b/>
          <w:bCs/>
          <w:kern w:val="2"/>
          <w:sz w:val="24"/>
          <w:szCs w:val="24"/>
          <w14:ligatures w14:val="standardContextual"/>
        </w:rPr>
        <w:t xml:space="preserve"> – 3</w:t>
      </w:r>
      <w:r w:rsidRPr="00385665">
        <w:rPr>
          <w:rFonts w:ascii="Perpetua" w:eastAsia="Calibri" w:hAnsi="Perpetua" w:cs="Times New Roman"/>
          <w:b/>
          <w:bCs/>
          <w:kern w:val="2"/>
          <w:sz w:val="24"/>
          <w:szCs w:val="24"/>
          <w:vertAlign w:val="superscript"/>
          <w14:ligatures w14:val="standardContextual"/>
        </w:rPr>
        <w:t>rd</w:t>
      </w:r>
      <w:r w:rsidRPr="00385665">
        <w:rPr>
          <w:rFonts w:ascii="Perpetua" w:eastAsia="Calibri" w:hAnsi="Perpetua" w:cs="Times New Roman"/>
          <w:b/>
          <w:bCs/>
          <w:kern w:val="2"/>
          <w:sz w:val="24"/>
          <w:szCs w:val="24"/>
          <w14:ligatures w14:val="standardContextual"/>
        </w:rPr>
        <w:t xml:space="preserve"> Centuries</w:t>
      </w:r>
    </w:p>
    <w:p w14:paraId="4B31F818"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p>
    <w:p w14:paraId="57079B1E"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Speratus</w:t>
      </w:r>
    </w:p>
    <w:p w14:paraId="59D6A50A"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2</w:t>
      </w:r>
      <w:r w:rsidRPr="00385665">
        <w:rPr>
          <w:rFonts w:ascii="Perpetua" w:eastAsia="Calibri" w:hAnsi="Perpetua" w:cs="Times New Roman"/>
          <w:b/>
          <w:bCs/>
          <w:kern w:val="2"/>
          <w:sz w:val="20"/>
          <w:szCs w:val="20"/>
          <w:vertAlign w:val="superscript"/>
          <w14:ligatures w14:val="standardContextual"/>
        </w:rPr>
        <w:t>nd</w:t>
      </w:r>
      <w:r w:rsidRPr="00385665">
        <w:rPr>
          <w:rFonts w:ascii="Perpetua" w:eastAsia="Calibri" w:hAnsi="Perpetua" w:cs="Times New Roman"/>
          <w:b/>
          <w:bCs/>
          <w:kern w:val="2"/>
          <w:sz w:val="20"/>
          <w:szCs w:val="20"/>
          <w14:ligatures w14:val="standardContextual"/>
        </w:rPr>
        <w:t xml:space="preserve"> century</w:t>
      </w:r>
    </w:p>
    <w:p w14:paraId="1A8653FE"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Ancient Christian Church</w:t>
      </w:r>
    </w:p>
    <w:p w14:paraId="2E50E535"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Tunisia</w:t>
      </w:r>
    </w:p>
    <w:p w14:paraId="7075E2FD"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759201B6"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 xml:space="preserve">Robert McQueen Grant has observed that “the churches of [the Roman province of] Africa first came to the attention of the state in 180, when, according to Tertullian, the proconsul Vigellius Saturninus ‘first drew the sword upon us’ and put to death the twelve Christians at Carthage” [1970: 187, citing Tertullian *Ad Scapulum *3.4 = ANF 3 (1885) 106; cf. Carrington 1957: II.290]. While persecution at various levels under diverse circumstances within distinct communities can be traced back throughout early Christian history to its origins, this specific episode began within weeks of the accession as sole emperor of Lucius Aelius Aurelius Commodus [161-192; co-emperor from 177 with his father Marcus Aelius Aurelius Verus (121-17 March 180)]. </w:t>
      </w:r>
    </w:p>
    <w:p w14:paraId="7D58A26B"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The date of their specific execution by beheading (a punishment normally reserved for Roman citizens, witness the tradition with respect to the Apostle Paul in contrast to that of the Apostle Peter) occurred on 16 kalends of August (which we render as 17 July), dated to the consulship of Praesens for the second time along with Claudian as his colleague (= 180 A.D.; cf. Musurillo 1972:87 n.2). William Hugh Clifford Frend has stated that these twelve were “drawn from the purely native, non-citizen classes of the [North African] population” (1952:88), but he ignores the mode of execution.</w:t>
      </w:r>
    </w:p>
    <w:p w14:paraId="4C5BD416"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Among exacting accounts of the witnessing (in Greek </w:t>
      </w:r>
      <w:r w:rsidRPr="00385665">
        <w:rPr>
          <w:rFonts w:ascii="Perpetua" w:eastAsia="Calibri" w:hAnsi="Perpetua" w:cs="Times New Roman"/>
          <w:i/>
          <w:iCs/>
          <w:kern w:val="2"/>
          <w:sz w:val="20"/>
          <w:szCs w:val="20"/>
          <w14:ligatures w14:val="standardContextual"/>
        </w:rPr>
        <w:t>marturein</w:t>
      </w:r>
      <w:r w:rsidRPr="00385665">
        <w:rPr>
          <w:rFonts w:ascii="Perpetua" w:eastAsia="Calibri" w:hAnsi="Perpetua" w:cs="Times New Roman"/>
          <w:kern w:val="2"/>
          <w:sz w:val="20"/>
          <w:szCs w:val="20"/>
          <w14:ligatures w14:val="standardContextual"/>
        </w:rPr>
        <w:t>) of Christians before an imperial officer, “‘The Acts of the Scillitan Martyrs’ is our earliest dated document from the Latin Church and the first to make mention of a Latin Bible” (Musurillo 1972: xxii). This document conveys by its brevity and lack of frills the impression of a primitive court record wherein is met a cluster of twelve named individuals, seven males and five females, headed by Speratus who alone speaks more than once (for a total of nine curt replies to interrogation). Five others (two men: Nartzalus and Cittinus; three women: Donata, Vestia, and Secunda) make no more than one responsive comment, and the other six (four men: Veturius, Felix, Aquilinus, and Laetanius; two women: Januaria and Generosa) simply get identified in the concluding indication of the total of those sentenced. [See the Latin text and English translation of Musurillo 1972:86-89; separate entries are given for each of those named.]</w:t>
      </w:r>
    </w:p>
    <w:p w14:paraId="79E43B83" w14:textId="567357A2"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 xml:space="preserve">This is little enough to go on relative to personality, individually or collectively considered, though one senses – at least speculatively – that, while no age is adduced, we may ascribe to each beside Speratus a probable youth appropriate to their level of enthusiasm for this witnessing to their Christian identification. Moreover, Philip Carrington has observed that “the record reminds us of the Acts of the Martyrdom of </w:t>
      </w:r>
      <w:r w:rsidRPr="00385665">
        <w:rPr>
          <w:rFonts w:ascii="Perpetua" w:eastAsia="Calibri" w:hAnsi="Perpetua" w:cs="Times New Roman"/>
          <w:kern w:val="2"/>
          <w:sz w:val="20"/>
          <w:szCs w:val="20"/>
          <w14:ligatures w14:val="standardContextual"/>
        </w:rPr>
        <w:lastRenderedPageBreak/>
        <w:t>Justin and his companions in Rome, so that Speratus with his simple answers and his New Testament books may have been a teacher like Justin, witnessing to his faith with his pupils” (1957: II.292; for an edition of “The Acts of Justin and Companions,” see Musurillo 1972:42-61). One might also recall from Eusebius (c.260-340) the listing of seven students of Origen who were martyred [H.E. 6.4]; of these “at least five were unbaptized or lately baptized” (Lawlor 1928:193), where the issue against the Christians might also appear to be the law against proselytism, a charge especially obvious within catechetical schools. This “enthusiasm” of youth is also apparent in the witnessing of the African martyr Perpetua, a young mother of age 22, where her companions are specifically identified as “</w:t>
      </w:r>
      <w:r w:rsidRPr="00385665">
        <w:rPr>
          <w:rFonts w:ascii="Perpetua" w:eastAsia="Calibri" w:hAnsi="Perpetua" w:cs="Times New Roman"/>
          <w:i/>
          <w:iCs/>
          <w:kern w:val="2"/>
          <w:sz w:val="20"/>
          <w:szCs w:val="20"/>
          <w14:ligatures w14:val="standardContextual"/>
        </w:rPr>
        <w:t>adolescentes catechumeni</w:t>
      </w:r>
      <w:r w:rsidRPr="00385665">
        <w:rPr>
          <w:rFonts w:ascii="Perpetua" w:eastAsia="Calibri" w:hAnsi="Perpetua" w:cs="Times New Roman"/>
          <w:kern w:val="2"/>
          <w:sz w:val="20"/>
          <w:szCs w:val="20"/>
          <w14:ligatures w14:val="standardContextual"/>
        </w:rPr>
        <w:t xml:space="preserve">” (literally “adolescent catechumens,” not yet baptized; cf. Carrington 1957: II.425)! </w:t>
      </w:r>
    </w:p>
    <w:p w14:paraId="43CC0388"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However, Tertullian (c.160-220) had known of others caught up in this same persecution with those from Scillium. Carrington thought it began at a country town named Madauros in Numidia, where the “first martyr” was a native African with the Berber name of Namphanio [Maximus in his letter to Augustine sneeringly calls Namphanio “</w:t>
      </w:r>
      <w:r w:rsidRPr="00385665">
        <w:rPr>
          <w:rFonts w:ascii="Perpetua" w:eastAsia="Calibri" w:hAnsi="Perpetua" w:cs="Times New Roman"/>
          <w:i/>
          <w:iCs/>
          <w:kern w:val="2"/>
          <w:sz w:val="20"/>
          <w:szCs w:val="20"/>
          <w14:ligatures w14:val="standardContextual"/>
        </w:rPr>
        <w:t>archimartus</w:t>
      </w:r>
      <w:r w:rsidRPr="00385665">
        <w:rPr>
          <w:rFonts w:ascii="Perpetua" w:eastAsia="Calibri" w:hAnsi="Perpetua" w:cs="Times New Roman"/>
          <w:kern w:val="2"/>
          <w:sz w:val="20"/>
          <w:szCs w:val="20"/>
          <w14:ligatures w14:val="standardContextual"/>
        </w:rPr>
        <w:t>”; Augustine in response explains the Punic meaning of the name – cf. Letter of Augustine 16 and 17; NPNF ser.1 1.233-235, both dated 390], and a group of companions with equally non-Roman names – Lucitas, Mygdon (Miggin), and Samae (Saname), for whom no court record survives (Carrington 1957: II.291; see the entries for each). We may perceive therefrom the breadth but not the depth of this Christian community in the larger region about Carthage, where later persecution will catch up with even more noteworthy persons, such as the episcopal author, Cyprian (c.200-258). [For him are preserved “The Acts of St. Cyprian,” covering from his confession before the proconsul Aspasius Paternus until his final hearing and execution under Galerius Maximus – that is, from August 30, 257 to September 14, 258; cf. Musurillo 1972:168-175 (Latin text and English translation), which deserve to be read as companion piece to this slightly earlier and much briefer material. Agobard archbishop of Lyons (c.779-840) asserts that the relics of Speratus, with those of Cyprian, were translated by Charlemagne’s orders from Carthage to Lyons (cf. DCB 1887: 4.593, with reference to PL CIV 349).]</w:t>
      </w:r>
    </w:p>
    <w:p w14:paraId="04B04476"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Because Speratus is most preeminent within these “Acts,” noteworthy are several of his affirmations: while holding “our emperor in honor” and committing no acts of wickedness, Christians, however, do not “swear by the genius of [the] lord emperor,” to whom the proconsul required their acquiescence, since we “do not recognize the empire of this world,” rather we serve “that God whom no man has seen.” Speratus can affirm recognizable examples from “the Ten Commandments”; but the basic is simply “I am a Christian” (thrice affirmed, twice by Speratus, once by Vestia)! When asked what he has in his “case,” the response is “Books, and letters of a just man named Paul” – a significantly early indication of the achievement of their collection as anticipated from Paul’s own instructions (Col. 4:16) or the comment found in Second Peter (3:15-16).</w:t>
      </w:r>
    </w:p>
    <w:p w14:paraId="793F245A"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 xml:space="preserve">While the proconsul would offer reprieve for thirty days, neither Speratus nor his students require any more time to accept their sentence, which, like the original policy set by Marcus Ulpius Trajanus (53-117, emperor from 25 January 98), in </w:t>
      </w:r>
      <w:r w:rsidRPr="00385665">
        <w:rPr>
          <w:rFonts w:ascii="Perpetua" w:eastAsia="Calibri" w:hAnsi="Perpetua" w:cs="Times New Roman"/>
          <w:kern w:val="2"/>
          <w:sz w:val="20"/>
          <w:szCs w:val="20"/>
          <w14:ligatures w14:val="standardContextual"/>
        </w:rPr>
        <w:lastRenderedPageBreak/>
        <w:t>written reply to the interrogative letter with its fundamental questions of propriety concerning the handling of Christians asked by Pliny the Younger in 110 A.D. [cf. Letters of Pliny 10.96 and 97], still proceeds to find guilty by virtue of their having “persevered in their obstinacy” going each to death with a “</w:t>
      </w:r>
      <w:r w:rsidRPr="00385665">
        <w:rPr>
          <w:rFonts w:ascii="Perpetua" w:eastAsia="Calibri" w:hAnsi="Perpetua" w:cs="Times New Roman"/>
          <w:i/>
          <w:iCs/>
          <w:kern w:val="2"/>
          <w:sz w:val="20"/>
          <w:szCs w:val="20"/>
          <w14:ligatures w14:val="standardContextual"/>
        </w:rPr>
        <w:t>Deo gratias</w:t>
      </w:r>
      <w:r w:rsidRPr="00385665">
        <w:rPr>
          <w:rFonts w:ascii="Perpetua" w:eastAsia="Calibri" w:hAnsi="Perpetua" w:cs="Times New Roman"/>
          <w:kern w:val="2"/>
          <w:sz w:val="20"/>
          <w:szCs w:val="20"/>
          <w14:ligatures w14:val="standardContextual"/>
        </w:rPr>
        <w:t>” (“Thanks be to God”) perhaps spoken in unison (citing throughout from the translation by Musurillo 1972:86-89). Within a listing of “saints” this group is collectively commemorated as “the Scillitan martyrs” with a feast day on that of their hearing and execution (PDS 303). Already in the era of Augustine, as examples of his sermons display, the group was recalled on their “birth day” (Grant 1970:309), which explains the title of Augustine’s “Sermon XVI,” “</w:t>
      </w:r>
      <w:r w:rsidRPr="00385665">
        <w:rPr>
          <w:rFonts w:ascii="Perpetua" w:eastAsia="Calibri" w:hAnsi="Perpetua" w:cs="Times New Roman"/>
          <w:i/>
          <w:iCs/>
          <w:kern w:val="2"/>
          <w:sz w:val="20"/>
          <w:szCs w:val="20"/>
          <w14:ligatures w14:val="standardContextual"/>
        </w:rPr>
        <w:t>In Natali Martyrum Scillitanorum</w:t>
      </w:r>
      <w:r w:rsidRPr="00385665">
        <w:rPr>
          <w:rFonts w:ascii="Perpetua" w:eastAsia="Calibri" w:hAnsi="Perpetua" w:cs="Times New Roman"/>
          <w:kern w:val="2"/>
          <w:sz w:val="20"/>
          <w:szCs w:val="20"/>
          <w14:ligatures w14:val="standardContextual"/>
        </w:rPr>
        <w:t>” (preserved in PL XLVI 869-874).</w:t>
      </w:r>
    </w:p>
    <w:p w14:paraId="06628776"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0CF3699A"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Clyde Curry Smith</w:t>
      </w:r>
    </w:p>
    <w:p w14:paraId="7126E11B"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7B96B06E"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5EFB7441"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Bibliography:</w:t>
      </w:r>
    </w:p>
    <w:p w14:paraId="6FA7CB09"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p>
    <w:p w14:paraId="132507EA" w14:textId="77777777" w:rsidR="00385665" w:rsidRPr="00385665" w:rsidRDefault="00385665" w:rsidP="00385665">
      <w:pPr>
        <w:spacing w:after="0" w:line="240" w:lineRule="auto"/>
        <w:ind w:left="720" w:hanging="720"/>
        <w:jc w:val="both"/>
        <w:rPr>
          <w:rFonts w:ascii="Perpetua" w:eastAsia="Calibri" w:hAnsi="Perpetua" w:cs="Times New Roman"/>
          <w:kern w:val="2"/>
          <w:sz w:val="20"/>
          <w:szCs w:val="20"/>
          <w14:ligatures w14:val="standardContextual"/>
        </w:rPr>
      </w:pPr>
      <w:r w:rsidRPr="00385665">
        <w:rPr>
          <w:rFonts w:ascii="Perpetua" w:eastAsia="Calibri" w:hAnsi="Perpetua" w:cs="Times New Roman"/>
          <w:i/>
          <w:iCs/>
          <w:kern w:val="2"/>
          <w:sz w:val="20"/>
          <w:szCs w:val="20"/>
          <w14:ligatures w14:val="standardContextual"/>
        </w:rPr>
        <w:t>The Penguin Dictionary of Saints,</w:t>
      </w:r>
      <w:r w:rsidRPr="00385665">
        <w:rPr>
          <w:rFonts w:ascii="Perpetua" w:eastAsia="Calibri" w:hAnsi="Perpetua" w:cs="Times New Roman"/>
          <w:kern w:val="2"/>
          <w:sz w:val="20"/>
          <w:szCs w:val="20"/>
          <w14:ligatures w14:val="standardContextual"/>
        </w:rPr>
        <w:t xml:space="preserve"> ed. Donald Attwater (1965), 303-304. </w:t>
      </w:r>
    </w:p>
    <w:p w14:paraId="0EAD685D" w14:textId="77777777" w:rsidR="00385665" w:rsidRPr="00385665" w:rsidRDefault="00385665" w:rsidP="00385665">
      <w:pPr>
        <w:spacing w:after="0" w:line="240" w:lineRule="auto"/>
        <w:ind w:left="720" w:hanging="720"/>
        <w:jc w:val="both"/>
        <w:rPr>
          <w:rFonts w:ascii="Perpetua" w:eastAsia="Calibri" w:hAnsi="Perpetua" w:cs="Times New Roman"/>
          <w:kern w:val="2"/>
          <w:sz w:val="20"/>
          <w:szCs w:val="20"/>
          <w14:ligatures w14:val="standardContextual"/>
        </w:rPr>
      </w:pPr>
      <w:r w:rsidRPr="00385665">
        <w:rPr>
          <w:rFonts w:ascii="Perpetua" w:eastAsia="Calibri" w:hAnsi="Perpetua" w:cs="Times New Roman"/>
          <w:i/>
          <w:iCs/>
          <w:kern w:val="2"/>
          <w:sz w:val="20"/>
          <w:szCs w:val="20"/>
          <w14:ligatures w14:val="standardContextual"/>
        </w:rPr>
        <w:t>The Oxford Dictionary of the Christian Church</w:t>
      </w:r>
      <w:r w:rsidRPr="00385665">
        <w:rPr>
          <w:rFonts w:ascii="Perpetua" w:eastAsia="Calibri" w:hAnsi="Perpetua" w:cs="Times New Roman"/>
          <w:kern w:val="2"/>
          <w:sz w:val="20"/>
          <w:szCs w:val="20"/>
          <w14:ligatures w14:val="standardContextual"/>
        </w:rPr>
        <w:t xml:space="preserve">, ed. F. L. Cross (1957), 1230. </w:t>
      </w:r>
    </w:p>
    <w:p w14:paraId="2D896EC9" w14:textId="77777777" w:rsidR="00385665" w:rsidRPr="00385665" w:rsidRDefault="00385665" w:rsidP="00385665">
      <w:pPr>
        <w:spacing w:after="0" w:line="240" w:lineRule="auto"/>
        <w:ind w:left="720" w:hanging="720"/>
        <w:jc w:val="both"/>
        <w:rPr>
          <w:rFonts w:ascii="Perpetua" w:eastAsia="Calibri" w:hAnsi="Perpetua" w:cs="Times New Roman"/>
          <w:kern w:val="2"/>
          <w:sz w:val="20"/>
          <w:szCs w:val="20"/>
          <w14:ligatures w14:val="standardContextual"/>
        </w:rPr>
      </w:pPr>
      <w:r w:rsidRPr="00385665">
        <w:rPr>
          <w:rFonts w:ascii="Perpetua" w:eastAsia="Calibri" w:hAnsi="Perpetua" w:cs="Times New Roman"/>
          <w:i/>
          <w:iCs/>
          <w:kern w:val="2"/>
          <w:sz w:val="20"/>
          <w:szCs w:val="20"/>
          <w14:ligatures w14:val="standardContextual"/>
        </w:rPr>
        <w:t>The New International Dictionary of the Christian Church,</w:t>
      </w:r>
      <w:r w:rsidRPr="00385665">
        <w:rPr>
          <w:rFonts w:ascii="Perpetua" w:eastAsia="Calibri" w:hAnsi="Perpetua" w:cs="Times New Roman"/>
          <w:kern w:val="2"/>
          <w:sz w:val="20"/>
          <w:szCs w:val="20"/>
          <w14:ligatures w14:val="standardContextual"/>
        </w:rPr>
        <w:t> ed. J. D. Douglas (1974), 889 (DFWright).</w:t>
      </w:r>
    </w:p>
    <w:p w14:paraId="0C6BD4F0" w14:textId="77777777" w:rsidR="00385665" w:rsidRPr="00385665" w:rsidRDefault="00385665" w:rsidP="00385665">
      <w:pPr>
        <w:spacing w:after="0" w:line="240" w:lineRule="auto"/>
        <w:ind w:left="720" w:hanging="720"/>
        <w:jc w:val="both"/>
        <w:rPr>
          <w:rFonts w:ascii="Perpetua" w:eastAsia="Calibri" w:hAnsi="Perpetua" w:cs="Times New Roman"/>
          <w:kern w:val="2"/>
          <w:sz w:val="20"/>
          <w:szCs w:val="20"/>
          <w14:ligatures w14:val="standardContextual"/>
        </w:rPr>
      </w:pPr>
      <w:r w:rsidRPr="00385665">
        <w:rPr>
          <w:rFonts w:ascii="Perpetua" w:eastAsia="Calibri" w:hAnsi="Perpetua" w:cs="Times New Roman"/>
          <w:i/>
          <w:iCs/>
          <w:kern w:val="2"/>
          <w:sz w:val="20"/>
          <w:szCs w:val="20"/>
          <w14:ligatures w14:val="standardContextual"/>
        </w:rPr>
        <w:t>Encyclopedia of the Early Church</w:t>
      </w:r>
      <w:r w:rsidRPr="00385665">
        <w:rPr>
          <w:rFonts w:ascii="Perpetua" w:eastAsia="Calibri" w:hAnsi="Perpetua" w:cs="Times New Roman"/>
          <w:kern w:val="2"/>
          <w:sz w:val="20"/>
          <w:szCs w:val="20"/>
          <w14:ligatures w14:val="standardContextual"/>
        </w:rPr>
        <w:t xml:space="preserve">, ed. A. DiBerardino (1992), 2 volumes. 762 (VSaxer). </w:t>
      </w:r>
    </w:p>
    <w:p w14:paraId="1FD4AC58" w14:textId="77777777" w:rsidR="00385665" w:rsidRPr="00385665" w:rsidRDefault="00385665" w:rsidP="00385665">
      <w:pPr>
        <w:spacing w:after="0" w:line="240" w:lineRule="auto"/>
        <w:ind w:left="720" w:hanging="720"/>
        <w:jc w:val="both"/>
        <w:rPr>
          <w:rFonts w:ascii="Perpetua" w:eastAsia="Calibri" w:hAnsi="Perpetua" w:cs="Times New Roman"/>
          <w:kern w:val="2"/>
          <w:sz w:val="20"/>
          <w:szCs w:val="20"/>
          <w14:ligatures w14:val="standardContextual"/>
        </w:rPr>
      </w:pPr>
      <w:r w:rsidRPr="00385665">
        <w:rPr>
          <w:rFonts w:ascii="Perpetua" w:eastAsia="Calibri" w:hAnsi="Perpetua" w:cs="Times New Roman"/>
          <w:i/>
          <w:iCs/>
          <w:kern w:val="2"/>
          <w:sz w:val="20"/>
          <w:szCs w:val="20"/>
          <w14:ligatures w14:val="standardContextual"/>
        </w:rPr>
        <w:t>--------,</w:t>
      </w:r>
      <w:r w:rsidRPr="00385665">
        <w:rPr>
          <w:rFonts w:ascii="Perpetua" w:eastAsia="Calibri" w:hAnsi="Perpetua" w:cs="Times New Roman"/>
          <w:kern w:val="2"/>
          <w:sz w:val="20"/>
          <w:szCs w:val="20"/>
          <w14:ligatures w14:val="standardContextual"/>
        </w:rPr>
        <w:t xml:space="preserve"> ed. E. Ferguson (1997), 2 volumes. 17 (DMScholer). </w:t>
      </w:r>
    </w:p>
    <w:p w14:paraId="3CE46570" w14:textId="77777777" w:rsidR="00385665" w:rsidRPr="00385665" w:rsidRDefault="00385665" w:rsidP="00385665">
      <w:pPr>
        <w:spacing w:after="0" w:line="240" w:lineRule="auto"/>
        <w:ind w:left="720" w:hanging="720"/>
        <w:jc w:val="both"/>
        <w:rPr>
          <w:rFonts w:ascii="Perpetua" w:eastAsia="Calibri" w:hAnsi="Perpetua" w:cs="Times New Roman"/>
          <w:kern w:val="2"/>
          <w:sz w:val="20"/>
          <w:szCs w:val="20"/>
          <w14:ligatures w14:val="standardContextual"/>
        </w:rPr>
      </w:pPr>
      <w:r w:rsidRPr="00385665">
        <w:rPr>
          <w:rFonts w:ascii="Perpetua" w:eastAsia="Calibri" w:hAnsi="Perpetua" w:cs="Times New Roman"/>
          <w:i/>
          <w:iCs/>
          <w:kern w:val="2"/>
          <w:sz w:val="20"/>
          <w:szCs w:val="20"/>
          <w14:ligatures w14:val="standardContextual"/>
        </w:rPr>
        <w:t>--------,</w:t>
      </w:r>
      <w:r w:rsidRPr="00385665">
        <w:rPr>
          <w:rFonts w:ascii="Perpetua" w:eastAsia="Calibri" w:hAnsi="Perpetua" w:cs="Times New Roman"/>
          <w:kern w:val="2"/>
          <w:sz w:val="20"/>
          <w:szCs w:val="20"/>
          <w14:ligatures w14:val="standardContextual"/>
        </w:rPr>
        <w:t> ed. E. Ferguson (1997), 2 volumes, 724-728. “On “Martyr, Martyrdom.” (EFerguson).</w:t>
      </w:r>
    </w:p>
    <w:p w14:paraId="21145FBE"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p>
    <w:p w14:paraId="25A9BEA3"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Supplementary Bibliography</w:t>
      </w:r>
    </w:p>
    <w:p w14:paraId="7C03390B"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p>
    <w:p w14:paraId="22B0664A" w14:textId="77777777" w:rsidR="00385665" w:rsidRPr="00385665" w:rsidRDefault="00385665" w:rsidP="00385665">
      <w:pPr>
        <w:spacing w:after="0" w:line="240" w:lineRule="auto"/>
        <w:ind w:left="720" w:hanging="720"/>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Carrington 1957 </w:t>
      </w:r>
      <w:r w:rsidRPr="00385665">
        <w:rPr>
          <w:rFonts w:ascii="Perpetua" w:eastAsia="Calibri" w:hAnsi="Perpetua" w:cs="Times New Roman"/>
          <w:i/>
          <w:iCs/>
          <w:kern w:val="2"/>
          <w:sz w:val="20"/>
          <w:szCs w:val="20"/>
          <w14:ligatures w14:val="standardContextual"/>
        </w:rPr>
        <w:t>The Early Christian Church</w:t>
      </w:r>
      <w:r w:rsidRPr="00385665">
        <w:rPr>
          <w:rFonts w:ascii="Perpetua" w:eastAsia="Calibri" w:hAnsi="Perpetua" w:cs="Times New Roman"/>
          <w:kern w:val="2"/>
          <w:sz w:val="20"/>
          <w:szCs w:val="20"/>
          <w14:ligatures w14:val="standardContextual"/>
        </w:rPr>
        <w:t>, by Philip Carrington. Cambridge: At the University Press. 2 volumes.</w:t>
      </w:r>
    </w:p>
    <w:p w14:paraId="6450F222" w14:textId="77777777" w:rsidR="00385665" w:rsidRPr="00385665" w:rsidRDefault="00385665" w:rsidP="00385665">
      <w:pPr>
        <w:spacing w:after="0" w:line="240" w:lineRule="auto"/>
        <w:ind w:left="720" w:hanging="720"/>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Frend 1952 </w:t>
      </w:r>
      <w:r w:rsidRPr="00385665">
        <w:rPr>
          <w:rFonts w:ascii="Perpetua" w:eastAsia="Calibri" w:hAnsi="Perpetua" w:cs="Times New Roman"/>
          <w:i/>
          <w:iCs/>
          <w:kern w:val="2"/>
          <w:sz w:val="20"/>
          <w:szCs w:val="20"/>
          <w14:ligatures w14:val="standardContextual"/>
        </w:rPr>
        <w:t>The Donatist Church: A Movement of Protest in Roman North Africa</w:t>
      </w:r>
      <w:r w:rsidRPr="00385665">
        <w:rPr>
          <w:rFonts w:ascii="Perpetua" w:eastAsia="Calibri" w:hAnsi="Perpetua" w:cs="Times New Roman"/>
          <w:kern w:val="2"/>
          <w:sz w:val="20"/>
          <w:szCs w:val="20"/>
          <w14:ligatures w14:val="standardContextual"/>
        </w:rPr>
        <w:t>, by William Hugh Clifford Frend. Oxford: At the Clarendon Press.</w:t>
      </w:r>
    </w:p>
    <w:p w14:paraId="1065E69C" w14:textId="77777777" w:rsidR="00385665" w:rsidRPr="00385665" w:rsidRDefault="00385665" w:rsidP="00385665">
      <w:pPr>
        <w:spacing w:after="0" w:line="240" w:lineRule="auto"/>
        <w:ind w:left="720" w:hanging="720"/>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Grant 1970 </w:t>
      </w:r>
      <w:r w:rsidRPr="00385665">
        <w:rPr>
          <w:rFonts w:ascii="Perpetua" w:eastAsia="Calibri" w:hAnsi="Perpetua" w:cs="Times New Roman"/>
          <w:i/>
          <w:iCs/>
          <w:kern w:val="2"/>
          <w:sz w:val="20"/>
          <w:szCs w:val="20"/>
          <w14:ligatures w14:val="standardContextual"/>
        </w:rPr>
        <w:t>Augustus to Constantine: The Thrust of the Christian Movement into the Roman World</w:t>
      </w:r>
      <w:r w:rsidRPr="00385665">
        <w:rPr>
          <w:rFonts w:ascii="Perpetua" w:eastAsia="Calibri" w:hAnsi="Perpetua" w:cs="Times New Roman"/>
          <w:kern w:val="2"/>
          <w:sz w:val="20"/>
          <w:szCs w:val="20"/>
          <w14:ligatures w14:val="standardContextual"/>
        </w:rPr>
        <w:t>, by Robert McQueen Grant. New York, Evanston, and London: Harper and Row.</w:t>
      </w:r>
    </w:p>
    <w:p w14:paraId="304CA37F" w14:textId="77777777" w:rsidR="00385665" w:rsidRPr="00385665" w:rsidRDefault="00385665" w:rsidP="00385665">
      <w:pPr>
        <w:spacing w:after="0" w:line="240" w:lineRule="auto"/>
        <w:ind w:left="720" w:hanging="720"/>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Lawlor 1928 </w:t>
      </w:r>
      <w:r w:rsidRPr="00385665">
        <w:rPr>
          <w:rFonts w:ascii="Perpetua" w:eastAsia="Calibri" w:hAnsi="Perpetua" w:cs="Times New Roman"/>
          <w:i/>
          <w:iCs/>
          <w:kern w:val="2"/>
          <w:sz w:val="20"/>
          <w:szCs w:val="20"/>
          <w14:ligatures w14:val="standardContextual"/>
        </w:rPr>
        <w:t>Eusebius, Bishop of Caesarea, The Ecclesiastical History and the Martyrs of Palestine</w:t>
      </w:r>
      <w:r w:rsidRPr="00385665">
        <w:rPr>
          <w:rFonts w:ascii="Perpetua" w:eastAsia="Calibri" w:hAnsi="Perpetua" w:cs="Times New Roman"/>
          <w:kern w:val="2"/>
          <w:sz w:val="20"/>
          <w:szCs w:val="20"/>
          <w14:ligatures w14:val="standardContextual"/>
        </w:rPr>
        <w:t>, translated with Introduction and Notes, by Hugh Jackson Lawlor and John Ernest Leonard Oulton. London: SPCK. 2 volumes. Volume II: Introduction, Notes, and Index, by Hugh Jackson Lawlor.</w:t>
      </w:r>
    </w:p>
    <w:p w14:paraId="07291B27" w14:textId="77777777" w:rsidR="00385665" w:rsidRPr="00385665" w:rsidRDefault="00385665" w:rsidP="00385665">
      <w:pPr>
        <w:spacing w:after="0" w:line="240" w:lineRule="auto"/>
        <w:ind w:left="720" w:hanging="720"/>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Musurillo 1972 </w:t>
      </w:r>
      <w:r w:rsidRPr="00385665">
        <w:rPr>
          <w:rFonts w:ascii="Perpetua" w:eastAsia="Calibri" w:hAnsi="Perpetua" w:cs="Times New Roman"/>
          <w:i/>
          <w:iCs/>
          <w:kern w:val="2"/>
          <w:sz w:val="20"/>
          <w:szCs w:val="20"/>
          <w14:ligatures w14:val="standardContextual"/>
        </w:rPr>
        <w:t>Acts of the Christian Martyrs: Introduction, Texts and Translations</w:t>
      </w:r>
      <w:r w:rsidRPr="00385665">
        <w:rPr>
          <w:rFonts w:ascii="Perpetua" w:eastAsia="Calibri" w:hAnsi="Perpetua" w:cs="Times New Roman"/>
          <w:kern w:val="2"/>
          <w:sz w:val="20"/>
          <w:szCs w:val="20"/>
          <w14:ligatures w14:val="standardContextual"/>
        </w:rPr>
        <w:t>, by Herbert Musurillo. Oxford: At the Clarendon Press.</w:t>
      </w:r>
    </w:p>
    <w:p w14:paraId="4F0608FA" w14:textId="77777777" w:rsidR="00C86DC4" w:rsidRDefault="00C86DC4" w:rsidP="00C86DC4">
      <w:pPr>
        <w:spacing w:after="0" w:line="240" w:lineRule="auto"/>
        <w:jc w:val="both"/>
        <w:rPr>
          <w:rFonts w:ascii="Perpetua" w:eastAsia="Calibri" w:hAnsi="Perpetua" w:cs="Times New Roman"/>
          <w:b/>
          <w:bCs/>
          <w:kern w:val="2"/>
          <w:sz w:val="20"/>
          <w:szCs w:val="20"/>
          <w14:ligatures w14:val="standardContextual"/>
        </w:rPr>
      </w:pPr>
    </w:p>
    <w:p w14:paraId="69F21532" w14:textId="2014AB5F" w:rsidR="00C86DC4" w:rsidRDefault="00C86DC4" w:rsidP="00C86DC4">
      <w:pPr>
        <w:spacing w:after="0" w:line="240" w:lineRule="auto"/>
        <w:jc w:val="both"/>
        <w:rPr>
          <w:rFonts w:ascii="Perpetua" w:eastAsia="Calibri" w:hAnsi="Perpetua" w:cs="Times New Roman"/>
          <w:b/>
          <w:bCs/>
          <w:kern w:val="2"/>
          <w:sz w:val="20"/>
          <w:szCs w:val="20"/>
          <w14:ligatures w14:val="standardContextual"/>
        </w:rPr>
      </w:pPr>
      <w:r>
        <w:rPr>
          <w:rFonts w:ascii="Perpetua" w:eastAsia="Calibri" w:hAnsi="Perpetua" w:cs="Times New Roman"/>
          <w:b/>
          <w:bCs/>
          <w:kern w:val="2"/>
          <w:sz w:val="20"/>
          <w:szCs w:val="20"/>
          <w14:ligatures w14:val="standardContextual"/>
        </w:rPr>
        <w:t>______________________</w:t>
      </w:r>
      <w:r>
        <w:rPr>
          <w:rFonts w:ascii="Perpetua" w:eastAsia="Calibri" w:hAnsi="Perpetua" w:cs="Times New Roman"/>
          <w:b/>
          <w:bCs/>
          <w:kern w:val="2"/>
          <w:sz w:val="20"/>
          <w:szCs w:val="20"/>
          <w14:ligatures w14:val="standardContextual"/>
        </w:rPr>
        <w:br w:type="page"/>
      </w:r>
    </w:p>
    <w:p w14:paraId="544140BC" w14:textId="21F5B373"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lastRenderedPageBreak/>
        <w:t>Generosa</w:t>
      </w:r>
    </w:p>
    <w:p w14:paraId="665D5D23"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2</w:t>
      </w:r>
      <w:r w:rsidRPr="00385665">
        <w:rPr>
          <w:rFonts w:ascii="Perpetua" w:eastAsia="Calibri" w:hAnsi="Perpetua" w:cs="Times New Roman"/>
          <w:b/>
          <w:bCs/>
          <w:kern w:val="2"/>
          <w:sz w:val="20"/>
          <w:szCs w:val="20"/>
          <w:vertAlign w:val="superscript"/>
          <w14:ligatures w14:val="standardContextual"/>
        </w:rPr>
        <w:t>nd</w:t>
      </w:r>
      <w:r w:rsidRPr="00385665">
        <w:rPr>
          <w:rFonts w:ascii="Perpetua" w:eastAsia="Calibri" w:hAnsi="Perpetua" w:cs="Times New Roman"/>
          <w:b/>
          <w:bCs/>
          <w:kern w:val="2"/>
          <w:sz w:val="20"/>
          <w:szCs w:val="20"/>
          <w14:ligatures w14:val="standardContextual"/>
        </w:rPr>
        <w:t xml:space="preserve"> century</w:t>
      </w:r>
    </w:p>
    <w:p w14:paraId="26CAF6AF"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Ancient Christian Church</w:t>
      </w:r>
    </w:p>
    <w:p w14:paraId="536671C9"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Tunisia</w:t>
      </w:r>
    </w:p>
    <w:p w14:paraId="1C282089"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4A74EC8E"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One of the eleven youthful companions (“pupils”) of Speratus in the “Acts of the Scillitan Martyrs” (the earliest dated document from the Latin Church) brought before Vigellius Saturninus, the proconsul of the Roman province of Africa, who is not recorded to have spoken during the interrogations. She was beheaded on 17 July 180 A.D., and is collectively commemorated among “the Scillitan martyrs” [cf. Musurillo 1972:89; PDS 303]. For what few other details can be indicated on the basis of the minimal sources, see the entry “Speratus.”</w:t>
      </w:r>
    </w:p>
    <w:p w14:paraId="02A3D3B0"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61FCC115"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Clyde Curry Smith</w:t>
      </w:r>
    </w:p>
    <w:p w14:paraId="38881AAC"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5874135F"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p>
    <w:p w14:paraId="78180A03"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Supplementary Bibliography</w:t>
      </w:r>
    </w:p>
    <w:p w14:paraId="4D450183"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p>
    <w:p w14:paraId="6B57D222"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Musurillo, Herbert. </w:t>
      </w:r>
      <w:r w:rsidRPr="00385665">
        <w:rPr>
          <w:rFonts w:ascii="Perpetua" w:eastAsia="Calibri" w:hAnsi="Perpetua" w:cs="Times New Roman"/>
          <w:i/>
          <w:iCs/>
          <w:kern w:val="2"/>
          <w:sz w:val="20"/>
          <w:szCs w:val="20"/>
          <w14:ligatures w14:val="standardContextual"/>
        </w:rPr>
        <w:t>Acts of the Christian Martyrs: Introduction, Texts and Translations</w:t>
      </w:r>
      <w:r w:rsidRPr="00385665">
        <w:rPr>
          <w:rFonts w:ascii="Perpetua" w:eastAsia="Calibri" w:hAnsi="Perpetua" w:cs="Times New Roman"/>
          <w:kern w:val="2"/>
          <w:sz w:val="20"/>
          <w:szCs w:val="20"/>
          <w14:ligatures w14:val="standardContextual"/>
        </w:rPr>
        <w:t>. Oxford: Clarendon Press, 1972.</w:t>
      </w:r>
    </w:p>
    <w:p w14:paraId="23255080" w14:textId="77777777" w:rsid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29AEE995" w14:textId="77777777" w:rsidR="00A5608B" w:rsidRPr="00385665" w:rsidRDefault="00A5608B" w:rsidP="00385665">
      <w:pPr>
        <w:spacing w:after="0" w:line="240" w:lineRule="auto"/>
        <w:jc w:val="both"/>
        <w:rPr>
          <w:rFonts w:ascii="Perpetua" w:eastAsia="Calibri" w:hAnsi="Perpetua" w:cs="Times New Roman"/>
          <w:kern w:val="2"/>
          <w:sz w:val="20"/>
          <w:szCs w:val="20"/>
          <w14:ligatures w14:val="standardContextual"/>
        </w:rPr>
      </w:pPr>
    </w:p>
    <w:p w14:paraId="698DF293"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___________________________</w:t>
      </w:r>
    </w:p>
    <w:p w14:paraId="059FD476"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5FA66B49"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Secunda</w:t>
      </w:r>
    </w:p>
    <w:p w14:paraId="0E6EC71C"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2</w:t>
      </w:r>
      <w:r w:rsidRPr="00385665">
        <w:rPr>
          <w:rFonts w:ascii="Perpetua" w:eastAsia="Calibri" w:hAnsi="Perpetua" w:cs="Times New Roman"/>
          <w:b/>
          <w:bCs/>
          <w:kern w:val="2"/>
          <w:sz w:val="20"/>
          <w:szCs w:val="20"/>
          <w:vertAlign w:val="superscript"/>
          <w14:ligatures w14:val="standardContextual"/>
        </w:rPr>
        <w:t>nd</w:t>
      </w:r>
      <w:r w:rsidRPr="00385665">
        <w:rPr>
          <w:rFonts w:ascii="Perpetua" w:eastAsia="Calibri" w:hAnsi="Perpetua" w:cs="Times New Roman"/>
          <w:b/>
          <w:bCs/>
          <w:kern w:val="2"/>
          <w:sz w:val="20"/>
          <w:szCs w:val="20"/>
          <w14:ligatures w14:val="standardContextual"/>
        </w:rPr>
        <w:t xml:space="preserve"> century</w:t>
      </w:r>
    </w:p>
    <w:p w14:paraId="4AD92CC0"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Ancient Christian Church</w:t>
      </w:r>
    </w:p>
    <w:p w14:paraId="0896A8B5"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Tunisia</w:t>
      </w:r>
    </w:p>
    <w:p w14:paraId="16D2CAE6"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2FBE944D"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One of the eleven youthful companions (“pupils”) of Speratus in the “Acts of the Scillitan Martyrs” (the earliest dated document from the Latin Church) brought before Vigellius Saturninus, the proconsul of the Roman province of Africa. She is recorded, in bearing witness (“martus”), to have said: “I wish to be what I am.” She was beheaded on 17 July 180 A.D., and is collectively commemorated among “the Scillitan martyrs” [cf. Musurillo 1972:89; PDS 303]. For what few other details can be indicated on the basis of the minimal sources, see the entry “Speratus.”</w:t>
      </w:r>
    </w:p>
    <w:p w14:paraId="3D4C1109"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2A364F8D"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Clyde Curry Smith</w:t>
      </w:r>
    </w:p>
    <w:p w14:paraId="0096A06E"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2D954506"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5285BF56"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Supplementary Bibliography</w:t>
      </w:r>
    </w:p>
    <w:p w14:paraId="700A2882"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p>
    <w:p w14:paraId="50C0F8B7"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Musurillo, Herbert. </w:t>
      </w:r>
      <w:r w:rsidRPr="00385665">
        <w:rPr>
          <w:rFonts w:ascii="Perpetua" w:eastAsia="Calibri" w:hAnsi="Perpetua" w:cs="Times New Roman"/>
          <w:i/>
          <w:iCs/>
          <w:kern w:val="2"/>
          <w:sz w:val="20"/>
          <w:szCs w:val="20"/>
          <w14:ligatures w14:val="standardContextual"/>
        </w:rPr>
        <w:t>Acts of the Christian Martyrs: Introduction, Texts and Translations</w:t>
      </w:r>
      <w:r w:rsidRPr="00385665">
        <w:rPr>
          <w:rFonts w:ascii="Perpetua" w:eastAsia="Calibri" w:hAnsi="Perpetua" w:cs="Times New Roman"/>
          <w:kern w:val="2"/>
          <w:sz w:val="20"/>
          <w:szCs w:val="20"/>
          <w14:ligatures w14:val="standardContextual"/>
        </w:rPr>
        <w:t>. Oxford: Clarendon Press, 1972.</w:t>
      </w:r>
    </w:p>
    <w:p w14:paraId="77310FBC"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lastRenderedPageBreak/>
        <w:t>Origen (A)</w:t>
      </w:r>
    </w:p>
    <w:p w14:paraId="30358A39"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Alternate Names: Origen of Alexandria</w:t>
      </w:r>
    </w:p>
    <w:p w14:paraId="110467FA"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185-255</w:t>
      </w:r>
      <w:r w:rsidRPr="00385665">
        <w:rPr>
          <w:rFonts w:ascii="Perpetua" w:eastAsia="Calibri" w:hAnsi="Perpetua" w:cs="Times New Roman"/>
          <w:b/>
          <w:bCs/>
          <w:kern w:val="2"/>
          <w:sz w:val="20"/>
          <w:szCs w:val="20"/>
          <w14:ligatures w14:val="standardContextual"/>
        </w:rPr>
        <w:br/>
        <w:t>Ancient Christian Church</w:t>
      </w:r>
    </w:p>
    <w:p w14:paraId="7115AF4B"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Egypt</w:t>
      </w:r>
    </w:p>
    <w:p w14:paraId="67F2C967"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682569AE"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Origen was born in Alexandria in 185 AD. A brilliant student, he was given the best education and the best Christian upbringing then available and was a student of Clement of Alexandria. From his earliest years he was very conversant with the Bible. His father, Leonides, was martyred as a Christian during the persecution of Emperor Septimius Severus. Only the intervention of his mother prevented Origen from presenting himself to share his father’s fate. His family property was confiscated by the authorities. During the persecution, the catechetical school in Alexandria was disbanded.</w:t>
      </w:r>
    </w:p>
    <w:p w14:paraId="7E541C50"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In 202 A.D., although Origen was only eighteen years old, he was appointed by Demetrius, bishop of Alexandria, not only to reopen the disbanded school but to head it. The school had been left vacant by the withdrawal of Clement. It is interesting to note that Origen likened himself to Pantaenus. In addition to teaching subjects relating to Christian studies, Origen taught secular subjects and acknowledged pagan philosophy. Among his students was Heraclaus, later the successor to Demetrius as bishop of Alexandria. Origen eventually handed over the teaching of the catechumens to him.</w:t>
      </w:r>
    </w:p>
    <w:p w14:paraId="7BCF1CAC"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Meanwhile Origen focused his energies on the more advanced students and sought to equip himself for his future work by attending the lectures of Ammonius Saccas, a distinguished exponent of neo-Platonist philosophy as Plotinus would become a few years later. His success as a teacher was remarkable and attracted heretics and pagans as well as catechumens. Origen was incomparably the greatest scholar and theologian of the Eastern church in the early centuries and his fame as a teacher spread far and wide.</w:t>
      </w:r>
    </w:p>
    <w:p w14:paraId="538BFD2D"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In 214 A.D. he made a journey to Rome where he met Hippolitus. Soon afterwards, he continued his tour and visited the pagan governor of Arabia at the governor’s request. He returned to Alexandria only to be expelled a few months later when Caracalla (Elagabulus) allowed his troops to sack the city in 218 A.D. Origen took refuge in Caesarea where, at the request of Theoktistos, the local bishop, he taught catechumens and also gave Biblical lectures. Jealous of the growing reputation of his protege, Demetrius, his bishop, recalled him to Alexandria, very angry because Origen, a layman, had expounded theology to bishops in Caesarea.</w:t>
      </w:r>
    </w:p>
    <w:p w14:paraId="3C7C8994"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In 229 A.D. Origen was invited to Athens to help the church there to deal with a Valentinian Gnostic heretic and went without Demetrius’s permission. In 230 A.D. some Palestinian bishops, his Episcopal friends, ordained Origen to the presbyterate. Demetrius was incensed, maintaining that this was flouting his authority. At a synod of Egyptian bishops he secured Origen’s condemnation and banishment on the grounds that he had been ordained without reference to the proper authority,–in other words, Demetrius himself.</w:t>
      </w:r>
    </w:p>
    <w:p w14:paraId="10B6D1A1"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lastRenderedPageBreak/>
        <w:t>Demetrius was prepared to allow Heraclaus rather than Origen teach a number of people at Alexandria. He may also have felt it was out of order for the bishops of Palestine to ordain Origen. Demetrius might have deliberately sought to prevent Origen’s teaching in the church. Origen’s views,–the fruit of advanced thinking for the time,–could be potentially explosive as seen in the ensuing controversy and for this, Demetrius felt him to be unsuitable.</w:t>
      </w:r>
    </w:p>
    <w:p w14:paraId="757C583F" w14:textId="4BE67A8F" w:rsidR="00385665" w:rsidRDefault="00385665" w:rsidP="00F411C4">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In Origen’s case, a specific objection was made manifest in later years during the Arian controversy, at the Council of Nicea in 325 A.D. Applying Matthew 19:12 literally (“For there are eunuchs who have been so right from their birth, and there are eunuchs who have been made so by men and there are eunuchs who made themselves eunuchs for the sake of the kingdom of heaven. He who is able to receive this, let him receive it”), Origen had allegedly castrated himself in his youthful zeal. Consequently, Demetrius considered Origen’s ordination illegal and improper on technical grounds. Was Demetrius motivated by jealousy? Although Demetrius might have been envious–and there is no doubt that he was,–he nevertheless had a case against Origen mainly on two grounds.</w:t>
      </w:r>
    </w:p>
    <w:p w14:paraId="4E012EFA" w14:textId="4147A6A3" w:rsidR="00F411C4" w:rsidRPr="00F411C4" w:rsidRDefault="00F411C4" w:rsidP="00F411C4">
      <w:pPr>
        <w:pStyle w:val="ListParagraph"/>
        <w:numPr>
          <w:ilvl w:val="0"/>
          <w:numId w:val="7"/>
        </w:numPr>
        <w:spacing w:after="0" w:line="240" w:lineRule="auto"/>
        <w:jc w:val="both"/>
        <w:rPr>
          <w:rFonts w:ascii="Perpetua" w:eastAsia="Calibri" w:hAnsi="Perpetua" w:cs="Times New Roman"/>
          <w:kern w:val="2"/>
          <w:sz w:val="20"/>
          <w:szCs w:val="20"/>
          <w14:ligatures w14:val="standardContextual"/>
        </w:rPr>
      </w:pPr>
      <w:r w:rsidRPr="00F411C4">
        <w:rPr>
          <w:rFonts w:ascii="Perpetua" w:eastAsia="Calibri" w:hAnsi="Perpetua" w:cs="Times New Roman"/>
          <w:kern w:val="2"/>
          <w:sz w:val="20"/>
          <w:szCs w:val="20"/>
          <w14:ligatures w14:val="standardContextual"/>
        </w:rPr>
        <w:t>That a man should not be ordained outside his own diocese.</w:t>
      </w:r>
    </w:p>
    <w:p w14:paraId="3E525037" w14:textId="3EBE79ED" w:rsidR="00385665" w:rsidRPr="00F411C4" w:rsidRDefault="00385665" w:rsidP="00F411C4">
      <w:pPr>
        <w:pStyle w:val="ListParagraph"/>
        <w:numPr>
          <w:ilvl w:val="0"/>
          <w:numId w:val="7"/>
        </w:numPr>
        <w:spacing w:after="0" w:line="240" w:lineRule="auto"/>
        <w:jc w:val="both"/>
        <w:rPr>
          <w:rFonts w:ascii="Perpetua" w:eastAsia="Calibri" w:hAnsi="Perpetua" w:cs="Times New Roman"/>
          <w:kern w:val="2"/>
          <w:sz w:val="20"/>
          <w:szCs w:val="20"/>
          <w14:ligatures w14:val="standardContextual"/>
        </w:rPr>
      </w:pPr>
      <w:r w:rsidRPr="00F411C4">
        <w:rPr>
          <w:rFonts w:ascii="Perpetua" w:eastAsia="Calibri" w:hAnsi="Perpetua" w:cs="Times New Roman"/>
          <w:kern w:val="2"/>
          <w:sz w:val="20"/>
          <w:szCs w:val="20"/>
          <w14:ligatures w14:val="standardContextual"/>
        </w:rPr>
        <w:t>According to Canon Law, Origen had excluded himself by self-mutilation in order to become a eunuch.</w:t>
      </w:r>
    </w:p>
    <w:p w14:paraId="76DC1409"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When Origen returned to Alexandria he was opposed by Demetrius who convened two local councils which condemned Origen and commanded him to leave. This decision, nevertheless, was rejected in Palestine. So, in 230 A.D., Origen established himself in Caesarea. On the death of Demetrius, Heraclaus, a former pupil of Origen, became bishop of Alexandria but continued to persecute Origen as Demetrius had done.</w:t>
      </w:r>
    </w:p>
    <w:p w14:paraId="73F9971A"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Origen never returned to Alexandria but made his home in Caesarea, teaching and writing. Among his pupils were Firmilian, bishop of Cappadocian Caesarea and Gregory Thaumaturgus. Origen travelled extensively and on two occasions was invited to Arabia as a theological arbitrator. In spite of his widespread fame, he was imprisoned during the persecution of Emperor Decius and cruelly tortured. Although Origen was released, he was physically broken and died in 254 A.D.</w:t>
      </w:r>
    </w:p>
    <w:p w14:paraId="4926A7C5"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p>
    <w:p w14:paraId="6AFF1CFC"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b/>
          <w:bCs/>
          <w:kern w:val="2"/>
          <w:sz w:val="20"/>
          <w:szCs w:val="20"/>
          <w14:ligatures w14:val="standardContextual"/>
        </w:rPr>
        <w:t>Origen’s Teachings</w:t>
      </w:r>
    </w:p>
    <w:p w14:paraId="5807E961"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42911591"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Origen was incomparably the greatest scholar and theologian of the Eastern Church in the early centuries as well as a prolific writer. His learning and his works were encyclopaedic. He is reputed to have written about 6,000 books. The first scientific theologian, Origen was a man ahead of his age, particularly in terms of Biblical scholarship and criticism.</w:t>
      </w:r>
    </w:p>
    <w:p w14:paraId="52F521A8"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In 218 A.D., Origen began his written works for Ambrosius, a wealthy friend who provided him with a staff of seven stenographers, seven copy writers and girls to make fair copies. From 223 A.D., there followed an amazing succession of works. It has been remarked that he “wrote more books than others had time to read” on textual criticism, exegesis, doctrines. He also undertook the </w:t>
      </w:r>
      <w:r w:rsidRPr="00385665">
        <w:rPr>
          <w:rFonts w:ascii="Perpetua" w:eastAsia="Calibri" w:hAnsi="Perpetua" w:cs="Times New Roman"/>
          <w:i/>
          <w:iCs/>
          <w:kern w:val="2"/>
          <w:sz w:val="20"/>
          <w:szCs w:val="20"/>
          <w14:ligatures w14:val="standardContextual"/>
        </w:rPr>
        <w:t>Hexapla</w:t>
      </w:r>
      <w:r w:rsidRPr="00385665">
        <w:rPr>
          <w:rFonts w:ascii="Perpetua" w:eastAsia="Calibri" w:hAnsi="Perpetua" w:cs="Times New Roman"/>
          <w:kern w:val="2"/>
          <w:sz w:val="20"/>
          <w:szCs w:val="20"/>
          <w14:ligatures w14:val="standardContextual"/>
        </w:rPr>
        <w:t xml:space="preserve">, a gigantic work on the </w:t>
      </w:r>
      <w:r w:rsidRPr="00385665">
        <w:rPr>
          <w:rFonts w:ascii="Perpetua" w:eastAsia="Calibri" w:hAnsi="Perpetua" w:cs="Times New Roman"/>
          <w:kern w:val="2"/>
          <w:sz w:val="20"/>
          <w:szCs w:val="20"/>
          <w14:ligatures w14:val="standardContextual"/>
        </w:rPr>
        <w:lastRenderedPageBreak/>
        <w:t>Old Testament which has been lost apart from the Septuagint (LXX) part of the text. He also wrote the </w:t>
      </w:r>
      <w:r w:rsidRPr="00385665">
        <w:rPr>
          <w:rFonts w:ascii="Perpetua" w:eastAsia="Calibri" w:hAnsi="Perpetua" w:cs="Times New Roman"/>
          <w:i/>
          <w:iCs/>
          <w:kern w:val="2"/>
          <w:sz w:val="20"/>
          <w:szCs w:val="20"/>
          <w14:ligatures w14:val="standardContextual"/>
        </w:rPr>
        <w:t>Scholia</w:t>
      </w:r>
      <w:r w:rsidRPr="00385665">
        <w:rPr>
          <w:rFonts w:ascii="Perpetua" w:eastAsia="Calibri" w:hAnsi="Perpetua" w:cs="Times New Roman"/>
          <w:kern w:val="2"/>
          <w:sz w:val="20"/>
          <w:szCs w:val="20"/>
          <w14:ligatures w14:val="standardContextual"/>
        </w:rPr>
        <w:t> and other homilies and commentaries.</w:t>
      </w:r>
    </w:p>
    <w:p w14:paraId="21191CE6"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His great doctrinal work is </w:t>
      </w:r>
      <w:r w:rsidRPr="00385665">
        <w:rPr>
          <w:rFonts w:ascii="Perpetua" w:eastAsia="Calibri" w:hAnsi="Perpetua" w:cs="Times New Roman"/>
          <w:i/>
          <w:iCs/>
          <w:kern w:val="2"/>
          <w:sz w:val="20"/>
          <w:szCs w:val="20"/>
          <w14:ligatures w14:val="standardContextual"/>
        </w:rPr>
        <w:t>De Principiis</w:t>
      </w:r>
      <w:r w:rsidRPr="00385665">
        <w:rPr>
          <w:rFonts w:ascii="Perpetua" w:eastAsia="Calibri" w:hAnsi="Perpetua" w:cs="Times New Roman"/>
          <w:kern w:val="2"/>
          <w:sz w:val="20"/>
          <w:szCs w:val="20"/>
          <w14:ligatures w14:val="standardContextual"/>
        </w:rPr>
        <w:t> (“Concerning First Principles”), a masterpiece of which only an inaccurate Latin translation survives. His rule of faith was largely that of the Apostle’s Creed to which all the Christian churches would subscribe. Anything contradictory to such a statement of faith was heresy and he mentioned that Gnostic groups belonged to this category.</w:t>
      </w:r>
    </w:p>
    <w:p w14:paraId="5B76687D"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There were, on the other hand, open questions on which Origen gave his own opinion. For example,</w:t>
      </w:r>
    </w:p>
    <w:p w14:paraId="68936171" w14:textId="4DCDD68B" w:rsidR="00385665" w:rsidRPr="00F411C4" w:rsidRDefault="00385665" w:rsidP="00F411C4">
      <w:pPr>
        <w:pStyle w:val="ListParagraph"/>
        <w:numPr>
          <w:ilvl w:val="0"/>
          <w:numId w:val="8"/>
        </w:numPr>
        <w:spacing w:after="0" w:line="240" w:lineRule="auto"/>
        <w:jc w:val="both"/>
        <w:rPr>
          <w:rFonts w:ascii="Perpetua" w:eastAsia="Calibri" w:hAnsi="Perpetua" w:cs="Times New Roman"/>
          <w:kern w:val="2"/>
          <w:sz w:val="20"/>
          <w:szCs w:val="20"/>
          <w14:ligatures w14:val="standardContextual"/>
        </w:rPr>
      </w:pPr>
      <w:r w:rsidRPr="00F411C4">
        <w:rPr>
          <w:rFonts w:ascii="Perpetua" w:eastAsia="Calibri" w:hAnsi="Perpetua" w:cs="Times New Roman"/>
          <w:kern w:val="2"/>
          <w:sz w:val="20"/>
          <w:szCs w:val="20"/>
          <w14:ligatures w14:val="standardContextual"/>
        </w:rPr>
        <w:t>Is the Holy Spirit begotten?</w:t>
      </w:r>
    </w:p>
    <w:p w14:paraId="790E2AAD" w14:textId="20CFFA5C" w:rsidR="00385665" w:rsidRPr="00385665" w:rsidRDefault="00385665" w:rsidP="00F411C4">
      <w:pPr>
        <w:pStyle w:val="ListParagraph"/>
        <w:numPr>
          <w:ilvl w:val="0"/>
          <w:numId w:val="8"/>
        </w:num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Are the sun, moon, and stars animate?</w:t>
      </w:r>
    </w:p>
    <w:p w14:paraId="2F882E01" w14:textId="0F6BF2F0" w:rsidR="00385665" w:rsidRPr="00385665" w:rsidRDefault="00385665" w:rsidP="00F411C4">
      <w:pPr>
        <w:pStyle w:val="ListParagraph"/>
        <w:numPr>
          <w:ilvl w:val="0"/>
          <w:numId w:val="8"/>
        </w:num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What is the origin of the soul?</w:t>
      </w:r>
    </w:p>
    <w:p w14:paraId="16599948" w14:textId="7728B5CB" w:rsidR="00385665" w:rsidRPr="00385665" w:rsidRDefault="00385665" w:rsidP="00F411C4">
      <w:pPr>
        <w:pStyle w:val="ListParagraph"/>
        <w:numPr>
          <w:ilvl w:val="0"/>
          <w:numId w:val="8"/>
        </w:num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What is the existence of a succession of the world’s past and present?</w:t>
      </w:r>
    </w:p>
    <w:p w14:paraId="065A2C7C"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p>
    <w:p w14:paraId="4C6955E8"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His Writings</w:t>
      </w:r>
    </w:p>
    <w:p w14:paraId="00117C5A"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39DC3EB8"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For our purposes, the principal writings of Origen’s prodigious literary output may be divided into four groups:</w:t>
      </w:r>
    </w:p>
    <w:p w14:paraId="515EF143"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425A6557"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1. Biblical</w:t>
      </w:r>
    </w:p>
    <w:p w14:paraId="20EE97D2"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7C430543"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Origen’s biblical scholarship was outstanding. In an age in which versions and translations were multiplying he saw the pressing need for an accurate text of the Bible. In order to provide this he constructed the massive </w:t>
      </w:r>
      <w:r w:rsidRPr="00385665">
        <w:rPr>
          <w:rFonts w:ascii="Perpetua" w:eastAsia="Calibri" w:hAnsi="Perpetua" w:cs="Times New Roman"/>
          <w:i/>
          <w:iCs/>
          <w:kern w:val="2"/>
          <w:sz w:val="20"/>
          <w:szCs w:val="20"/>
          <w14:ligatures w14:val="standardContextual"/>
        </w:rPr>
        <w:t>Hexapla</w:t>
      </w:r>
      <w:r w:rsidRPr="00385665">
        <w:rPr>
          <w:rFonts w:ascii="Perpetua" w:eastAsia="Calibri" w:hAnsi="Perpetua" w:cs="Times New Roman"/>
          <w:kern w:val="2"/>
          <w:sz w:val="20"/>
          <w:szCs w:val="20"/>
          <w14:ligatures w14:val="standardContextual"/>
        </w:rPr>
        <w:t>, a critical edition of the Old Testament, which occupies a place apart in his body of work.</w:t>
      </w:r>
    </w:p>
    <w:p w14:paraId="322DE176"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The </w:t>
      </w:r>
      <w:r w:rsidRPr="00385665">
        <w:rPr>
          <w:rFonts w:ascii="Perpetua" w:eastAsia="Calibri" w:hAnsi="Perpetua" w:cs="Times New Roman"/>
          <w:i/>
          <w:iCs/>
          <w:kern w:val="2"/>
          <w:sz w:val="20"/>
          <w:szCs w:val="20"/>
          <w14:ligatures w14:val="standardContextual"/>
        </w:rPr>
        <w:t>Hexapla</w:t>
      </w:r>
      <w:r w:rsidRPr="00385665">
        <w:rPr>
          <w:rFonts w:ascii="Perpetua" w:eastAsia="Calibri" w:hAnsi="Perpetua" w:cs="Times New Roman"/>
          <w:kern w:val="2"/>
          <w:sz w:val="20"/>
          <w:szCs w:val="20"/>
          <w14:ligatures w14:val="standardContextual"/>
        </w:rPr>
        <w:t> was arranged in six columns in which were placed side by side the Hebrew text, a transliteration into Greek characters, and the four Greek versions of Aquila, Symmachus, the </w:t>
      </w:r>
      <w:r w:rsidRPr="00385665">
        <w:rPr>
          <w:rFonts w:ascii="Perpetua" w:eastAsia="Calibri" w:hAnsi="Perpetua" w:cs="Times New Roman"/>
          <w:i/>
          <w:iCs/>
          <w:kern w:val="2"/>
          <w:sz w:val="20"/>
          <w:szCs w:val="20"/>
          <w14:ligatures w14:val="standardContextual"/>
        </w:rPr>
        <w:t>Septuagint</w:t>
      </w:r>
      <w:r w:rsidRPr="00385665">
        <w:rPr>
          <w:rFonts w:ascii="Perpetua" w:eastAsia="Calibri" w:hAnsi="Perpetua" w:cs="Times New Roman"/>
          <w:kern w:val="2"/>
          <w:sz w:val="20"/>
          <w:szCs w:val="20"/>
          <w14:ligatures w14:val="standardContextual"/>
        </w:rPr>
        <w:t> and the Theodotion. For some parts of the Bible other versions were added. The texts were compared with each other and the Septuagint was marked with symbols drawing attention to points at which it appeared to deviate from the original Hebrew. Important variations were found, for example, in the translation of Aquilla, all written in the margins. It is probable that many copies of the </w:t>
      </w:r>
      <w:r w:rsidRPr="00385665">
        <w:rPr>
          <w:rFonts w:ascii="Perpetua" w:eastAsia="Calibri" w:hAnsi="Perpetua" w:cs="Times New Roman"/>
          <w:i/>
          <w:iCs/>
          <w:kern w:val="2"/>
          <w:sz w:val="20"/>
          <w:szCs w:val="20"/>
          <w14:ligatures w14:val="standardContextual"/>
        </w:rPr>
        <w:t>Hexapla</w:t>
      </w:r>
      <w:r w:rsidRPr="00385665">
        <w:rPr>
          <w:rFonts w:ascii="Perpetua" w:eastAsia="Calibri" w:hAnsi="Perpetua" w:cs="Times New Roman"/>
          <w:kern w:val="2"/>
          <w:sz w:val="20"/>
          <w:szCs w:val="20"/>
          <w14:ligatures w14:val="standardContextual"/>
        </w:rPr>
        <w:t> were made, but the original remained in the library at Caesarea where Jerome had access to it over a century later. The </w:t>
      </w:r>
      <w:r w:rsidRPr="00385665">
        <w:rPr>
          <w:rFonts w:ascii="Perpetua" w:eastAsia="Calibri" w:hAnsi="Perpetua" w:cs="Times New Roman"/>
          <w:i/>
          <w:iCs/>
          <w:kern w:val="2"/>
          <w:sz w:val="20"/>
          <w:szCs w:val="20"/>
          <w14:ligatures w14:val="standardContextual"/>
        </w:rPr>
        <w:t>Hexapla</w:t>
      </w:r>
      <w:r w:rsidRPr="00385665">
        <w:rPr>
          <w:rFonts w:ascii="Perpetua" w:eastAsia="Calibri" w:hAnsi="Perpetua" w:cs="Times New Roman"/>
          <w:kern w:val="2"/>
          <w:sz w:val="20"/>
          <w:szCs w:val="20"/>
          <w14:ligatures w14:val="standardContextual"/>
        </w:rPr>
        <w:t> could be found in some libraries in Caesarea many centuries after it was written but only a small portion of it has been preserved up to the present day. This monumental work provided the manuscript foundation for Origen’s exegetical work which constituted the greater part of his writings.</w:t>
      </w:r>
    </w:p>
    <w:p w14:paraId="2260F91E" w14:textId="3DF817B2"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Origen wrote a vast series of Scriptural commentaries in the Caesarean period about 230 A.D. but most of the ones which survived are in small fragments. In these commentaries Scripture was interpreted allegorically.</w:t>
      </w:r>
      <w:r w:rsidR="00F411C4">
        <w:rPr>
          <w:rFonts w:ascii="Perpetua" w:eastAsia="Calibri" w:hAnsi="Perpetua" w:cs="Times New Roman"/>
          <w:kern w:val="2"/>
          <w:sz w:val="20"/>
          <w:szCs w:val="20"/>
          <w14:ligatures w14:val="standardContextual"/>
        </w:rPr>
        <w:t xml:space="preserve"> </w:t>
      </w:r>
      <w:r w:rsidRPr="00385665">
        <w:rPr>
          <w:rFonts w:ascii="Perpetua" w:eastAsia="Calibri" w:hAnsi="Perpetua" w:cs="Times New Roman"/>
          <w:kern w:val="2"/>
          <w:sz w:val="20"/>
          <w:szCs w:val="20"/>
          <w14:ligatures w14:val="standardContextual"/>
        </w:rPr>
        <w:t xml:space="preserve">Origen taught that every text in the Bible could be read at three levels,–the literal, the moral and the spiritual level,–the spiritual level, discovered by means of allegory, being the most important. He has </w:t>
      </w:r>
      <w:r w:rsidRPr="00385665">
        <w:rPr>
          <w:rFonts w:ascii="Perpetua" w:eastAsia="Calibri" w:hAnsi="Perpetua" w:cs="Times New Roman"/>
          <w:kern w:val="2"/>
          <w:sz w:val="20"/>
          <w:szCs w:val="20"/>
          <w14:ligatures w14:val="standardContextual"/>
        </w:rPr>
        <w:lastRenderedPageBreak/>
        <w:t>been severely criticized for this view–a view no doubt due to his indebtedness to Platonism.</w:t>
      </w:r>
    </w:p>
    <w:p w14:paraId="7D41B11D"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Origen’s teaching generated controversy even during his own life and led to his banishment by Demetrius, bishop of Alexandria. After his death the battle over his ideas (known as the Origenist controversy) ensued and led to the Christological controversies of the fourth and fifth centuries. False teaching was ascribed to him, especially on his views on the Godhead which tended toward sub-ordinationism. Origen’s teaching on the Godhead, or rather on the relationship within the Godhead, was in fact taken to its logical conclusion by Arius in the Arian controversy which led to the decision of the council of Nicaea of 325 A.D. We shall now consider, however briefly, the Origenist controversy as it affected Jerome.</w:t>
      </w:r>
    </w:p>
    <w:p w14:paraId="5C348EBC"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p>
    <w:p w14:paraId="67549D08"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2. Theological</w:t>
      </w:r>
    </w:p>
    <w:p w14:paraId="34193AD6"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46F2F20B"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Only one work need be considered under this heading, his </w:t>
      </w:r>
      <w:r w:rsidRPr="00385665">
        <w:rPr>
          <w:rFonts w:ascii="Perpetua" w:eastAsia="Calibri" w:hAnsi="Perpetua" w:cs="Times New Roman"/>
          <w:i/>
          <w:iCs/>
          <w:kern w:val="2"/>
          <w:sz w:val="20"/>
          <w:szCs w:val="20"/>
          <w14:ligatures w14:val="standardContextual"/>
        </w:rPr>
        <w:t>De Principiis</w:t>
      </w:r>
      <w:r w:rsidRPr="00385665">
        <w:rPr>
          <w:rFonts w:ascii="Perpetua" w:eastAsia="Calibri" w:hAnsi="Perpetua" w:cs="Times New Roman"/>
          <w:kern w:val="2"/>
          <w:sz w:val="20"/>
          <w:szCs w:val="20"/>
          <w14:ligatures w14:val="standardContextual"/>
        </w:rPr>
        <w:t> (or “First Principles”) in which Origen sought to expound a coherent system of Christian teaching about God and the Universe. </w:t>
      </w:r>
      <w:r w:rsidRPr="00385665">
        <w:rPr>
          <w:rFonts w:ascii="Perpetua" w:eastAsia="Calibri" w:hAnsi="Perpetua" w:cs="Times New Roman"/>
          <w:i/>
          <w:iCs/>
          <w:kern w:val="2"/>
          <w:sz w:val="20"/>
          <w:szCs w:val="20"/>
          <w14:ligatures w14:val="standardContextual"/>
        </w:rPr>
        <w:t>De Principiis</w:t>
      </w:r>
      <w:r w:rsidRPr="00385665">
        <w:rPr>
          <w:rFonts w:ascii="Perpetua" w:eastAsia="Calibri" w:hAnsi="Perpetua" w:cs="Times New Roman"/>
          <w:kern w:val="2"/>
          <w:sz w:val="20"/>
          <w:szCs w:val="20"/>
          <w14:ligatures w14:val="standardContextual"/>
        </w:rPr>
        <w:t> only exists in a Latin version of the original Greek which was made by Rufirius in 398 A.D.</w:t>
      </w:r>
    </w:p>
    <w:p w14:paraId="713C62B7" w14:textId="77777777" w:rsidR="00385665" w:rsidRPr="00385665" w:rsidRDefault="00385665" w:rsidP="00385665">
      <w:pPr>
        <w:spacing w:after="0" w:line="240" w:lineRule="auto"/>
        <w:ind w:firstLine="360"/>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Origen began with the Platonic tenet that God was the Absolute Being though in place of the passive qualities of beauty and goodness he asserted the active quality of love. He tried to work out the correlation between God’s threefold nature in Christian and Biblical revelation and Platonist philosophy. He spoke of the divine realm in three ranks:</w:t>
      </w:r>
    </w:p>
    <w:p w14:paraId="34A3F4B3" w14:textId="77777777" w:rsidR="00385665" w:rsidRPr="00385665" w:rsidRDefault="00385665" w:rsidP="00385665">
      <w:pPr>
        <w:numPr>
          <w:ilvl w:val="0"/>
          <w:numId w:val="4"/>
        </w:num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Divine transcendence–the Good or the One.</w:t>
      </w:r>
    </w:p>
    <w:p w14:paraId="10EF585D" w14:textId="77777777" w:rsidR="00385665" w:rsidRPr="00385665" w:rsidRDefault="00385665" w:rsidP="00385665">
      <w:pPr>
        <w:numPr>
          <w:ilvl w:val="0"/>
          <w:numId w:val="4"/>
        </w:num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Emanating from the One was the divine mind, which contains various ideal forms of the Platonic scheme.</w:t>
      </w:r>
    </w:p>
    <w:p w14:paraId="491D9963" w14:textId="77777777" w:rsidR="00385665" w:rsidRPr="00385665" w:rsidRDefault="00385665" w:rsidP="00385665">
      <w:pPr>
        <w:numPr>
          <w:ilvl w:val="0"/>
          <w:numId w:val="4"/>
        </w:num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World Soul emanating from the divine mind.</w:t>
      </w:r>
    </w:p>
    <w:p w14:paraId="0F924E40"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This scheme as worked out by the great neo-platonic, Plotinus, refers to three hypostases. Where platonic philosophy spoke of three hypostases, Christianity refers to three divine beings, Father, Son and Holy Spirit.</w:t>
      </w:r>
    </w:p>
    <w:p w14:paraId="7AD09436"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Origen taught that below the divine world there was a world of spirits who became “sated,”–too satisfied with the adoration of God–and fell by their neglect, turning away from God to what was inferior. The material world was then created by God as a realm where man, who was involved in the Fall, might be educated and trained and turned back to his maker. To this end Christ, the divine Logos, came into the world to be man’s guide and educator. According to Origen, the universe will end as it began. In the last days, evil will be conquered and all beings will return to their primitive state. In the final victory of good over evil, the Devil will be saved. We shall then attain complete conformity with God and reach the state where God will be all in all.</w:t>
      </w:r>
    </w:p>
    <w:p w14:paraId="2ED2C6D7"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 xml:space="preserve">The first two hypostases of three ranks in the divine realm were notions derived from Greek philosophy and the third from Christian tradition. In Christian tradition, God the Father is supreme and transcendent and Scripture calls the Son truth and life. This is like the divine mind of the Platonist scheme. The Son has all the divine attributes </w:t>
      </w:r>
      <w:r w:rsidRPr="00385665">
        <w:rPr>
          <w:rFonts w:ascii="Perpetua" w:eastAsia="Calibri" w:hAnsi="Perpetua" w:cs="Times New Roman"/>
          <w:kern w:val="2"/>
          <w:sz w:val="20"/>
          <w:szCs w:val="20"/>
          <w14:ligatures w14:val="standardContextual"/>
        </w:rPr>
        <w:lastRenderedPageBreak/>
        <w:t>expressed in human good and in the Son, divinity is accessible to men. Therefore if the Son is begotten of the Father, the Father is eternally begetting.</w:t>
      </w:r>
    </w:p>
    <w:p w14:paraId="6722FD3F"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Origen could speak of the Son as the writer of the book of Proverbs who said, “The Lord created me.” (Prov. 8:22). “Me” in that context, Origen contended, refers back to wisdom. The Son is the archetype of created things and the fact of creation necessitates wisdom (Mind of God). Origen insisted that the essential goodness of God required the existence of creatures. Not only is the divine word eternal, but all rational creatures are eternal.</w:t>
      </w:r>
    </w:p>
    <w:p w14:paraId="445A3D3E"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There is little room in Origen’s thought for the genuine Christian view of judgment, sin and forgiveness. He described the process of the Fall and redemption much like the philosophers, though he found a place for the characteristically Christian concept of divine love in creation and redemption. It should be emphasized that more decisively Christian in Origen’s position is his insistence that all knowledge comes from Christ and that the Bible remains the all-important support and guarantee of the structure of theological thought.</w:t>
      </w:r>
    </w:p>
    <w:p w14:paraId="54EC47D1"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In Origen’s system, however, there is no adequate or satisfactory place for the Holy Spirit. Nevertheless, he recognized that the Holy Spirit has a very important place in baptismal confession and in church worship. The doctrine of the Trinity becomes fully evident. Thus to Origen, it is a trinity of a hierarchy of divine persons. He spoke of three hypostases or three entities,–Father, Son, Holy Spirit. The first two, Father and Son, do not pose much problem in contrast to the Holy Spirit. And of the three, there is a Platonic hierarchy: God the Father is very much like the Supreme Being, the one who is at the top, then comes the Son followed by the Holy Spirit. Origen used Scripture, particularly John 3, to support this view. The characteristic relation of the Trinity is that the Father acts indirectly upon all things, the Son or Word acts in all beings and the Spirit is in all things reasonable and sanctified.</w:t>
      </w:r>
    </w:p>
    <w:p w14:paraId="078C0408"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p>
    <w:p w14:paraId="218357FD"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3. Apologetic</w:t>
      </w:r>
    </w:p>
    <w:p w14:paraId="46D33769"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3001A152"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Origen’s one major work in defence of Christianity against pagan criticism was the </w:t>
      </w:r>
      <w:r w:rsidRPr="00385665">
        <w:rPr>
          <w:rFonts w:ascii="Perpetua" w:eastAsia="Calibri" w:hAnsi="Perpetua" w:cs="Times New Roman"/>
          <w:i/>
          <w:iCs/>
          <w:kern w:val="2"/>
          <w:sz w:val="20"/>
          <w:szCs w:val="20"/>
          <w14:ligatures w14:val="standardContextual"/>
        </w:rPr>
        <w:t>Contra Celsum</w:t>
      </w:r>
      <w:r w:rsidRPr="00385665">
        <w:rPr>
          <w:rFonts w:ascii="Perpetua" w:eastAsia="Calibri" w:hAnsi="Perpetua" w:cs="Times New Roman"/>
          <w:kern w:val="2"/>
          <w:sz w:val="20"/>
          <w:szCs w:val="20"/>
          <w14:ligatures w14:val="standardContextual"/>
        </w:rPr>
        <w:t> (or “Against Celsus”), which was written between 245 and 250 A.D. to satisfy his wealthy patron Ambrosius. Celsus had written in the second century a devastating criticism of Christianity. Although contemporary Christian apologists did much to defend Christianity against Celsus, it was not until Origen that there was a reasoned or sustained reply to his attack.</w:t>
      </w:r>
    </w:p>
    <w:p w14:paraId="49968907"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Celsus was the first known pagan philosopher to realize the potential threat of Christianity to the empire. He indicted Christians for being haters of the human race, a charge based on alleged Christian aloofness and unsociability. Celsus saw Christianity as an off-shoot of an already corrupt system, Judaism. He believed that because of its link with Judaism, Christianity, as Judaism before it, perverted the old concept of the Logos of Greek philosophy.</w:t>
      </w:r>
    </w:p>
    <w:p w14:paraId="2F139AE6" w14:textId="77777777" w:rsidR="00385665" w:rsidRPr="00385665" w:rsidRDefault="00385665" w:rsidP="00385665">
      <w:pPr>
        <w:spacing w:after="0" w:line="240" w:lineRule="auto"/>
        <w:ind w:firstLine="360"/>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Origen’s </w:t>
      </w:r>
      <w:r w:rsidRPr="00385665">
        <w:rPr>
          <w:rFonts w:ascii="Perpetua" w:eastAsia="Calibri" w:hAnsi="Perpetua" w:cs="Times New Roman"/>
          <w:i/>
          <w:iCs/>
          <w:kern w:val="2"/>
          <w:sz w:val="20"/>
          <w:szCs w:val="20"/>
          <w14:ligatures w14:val="standardContextual"/>
        </w:rPr>
        <w:t>Contra Celsum</w:t>
      </w:r>
      <w:r w:rsidRPr="00385665">
        <w:rPr>
          <w:rFonts w:ascii="Perpetua" w:eastAsia="Calibri" w:hAnsi="Perpetua" w:cs="Times New Roman"/>
          <w:kern w:val="2"/>
          <w:sz w:val="20"/>
          <w:szCs w:val="20"/>
          <w14:ligatures w14:val="standardContextual"/>
        </w:rPr>
        <w:t> contains lengthy quotations from Celsus’s work and detailed answers to his arguments. Origen’s main points are as follows:</w:t>
      </w:r>
    </w:p>
    <w:p w14:paraId="1E2A3CBA" w14:textId="77777777" w:rsidR="00385665" w:rsidRPr="00385665" w:rsidRDefault="00385665" w:rsidP="00385665">
      <w:pPr>
        <w:numPr>
          <w:ilvl w:val="0"/>
          <w:numId w:val="5"/>
        </w:num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lastRenderedPageBreak/>
        <w:t>That Celsus’s objection to particular incidents and passages of Scriptures would not stand. Origen placed great emphasis on prophecies, the miracles and the words of Jesus which Celsus had attacked. These, he argued, were consistent with what we would expect of God.</w:t>
      </w:r>
    </w:p>
    <w:p w14:paraId="556876DF" w14:textId="77777777" w:rsidR="00385665" w:rsidRPr="00385665" w:rsidRDefault="00385665" w:rsidP="00385665">
      <w:pPr>
        <w:numPr>
          <w:ilvl w:val="0"/>
          <w:numId w:val="5"/>
        </w:num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The case of Christianity, argued Origen, finally rests, on the strength and force it displays in the moral reformation of mankind. He consistently appealed to the strength of Christ’s power in the lives of Christians, who, he said, shine as stars in the world.</w:t>
      </w:r>
    </w:p>
    <w:p w14:paraId="23A537E8" w14:textId="77777777" w:rsidR="00385665" w:rsidRPr="00385665" w:rsidRDefault="00385665" w:rsidP="00385665">
      <w:pPr>
        <w:numPr>
          <w:ilvl w:val="0"/>
          <w:numId w:val="5"/>
        </w:num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The crucial question underlying the two previous arguments concerned whether, within a Platonic metaphysic, it is possible to speak of freedom in God or whether “God” is only another name for the impersonal process of cosmos. Celsus thought “God” was only a name for the impersonal process, but Origen asserted that God is free to take initiative in the world. He regarded this idea of freedom as a characteristically Christian emphasis which justifies and explains the spontaneity of the coming of Christ and the possibility of moral change in man.</w:t>
      </w:r>
    </w:p>
    <w:p w14:paraId="145E9288" w14:textId="77777777" w:rsidR="00385665" w:rsidRPr="00385665" w:rsidRDefault="00385665" w:rsidP="00385665">
      <w:pPr>
        <w:spacing w:after="0" w:line="240" w:lineRule="auto"/>
        <w:ind w:left="720"/>
        <w:jc w:val="both"/>
        <w:rPr>
          <w:rFonts w:ascii="Perpetua" w:eastAsia="Calibri" w:hAnsi="Perpetua" w:cs="Times New Roman"/>
          <w:kern w:val="2"/>
          <w:sz w:val="20"/>
          <w:szCs w:val="20"/>
          <w14:ligatures w14:val="standardContextual"/>
        </w:rPr>
      </w:pPr>
    </w:p>
    <w:p w14:paraId="0B281751"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4. Exegesis</w:t>
      </w:r>
    </w:p>
    <w:p w14:paraId="1C1342D6"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29F7DF5D"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Biblical studies took the paramount place in the scheme of Origen’s work. It has been said that he lived in the Bible to the extent that no one else before Luther rivalled him. The great mass of his literary work was concerned largely with Biblical criticism and exposition, the </w:t>
      </w:r>
      <w:r w:rsidRPr="00385665">
        <w:rPr>
          <w:rFonts w:ascii="Perpetua" w:eastAsia="Calibri" w:hAnsi="Perpetua" w:cs="Times New Roman"/>
          <w:i/>
          <w:iCs/>
          <w:kern w:val="2"/>
          <w:sz w:val="20"/>
          <w:szCs w:val="20"/>
          <w14:ligatures w14:val="standardContextual"/>
        </w:rPr>
        <w:t>Hexapla</w:t>
      </w:r>
      <w:r w:rsidRPr="00385665">
        <w:rPr>
          <w:rFonts w:ascii="Perpetua" w:eastAsia="Calibri" w:hAnsi="Perpetua" w:cs="Times New Roman"/>
          <w:kern w:val="2"/>
          <w:sz w:val="20"/>
          <w:szCs w:val="20"/>
          <w14:ligatures w14:val="standardContextual"/>
        </w:rPr>
        <w:t> occupying a central place.</w:t>
      </w:r>
    </w:p>
    <w:p w14:paraId="2540C189"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The </w:t>
      </w:r>
      <w:r w:rsidRPr="00385665">
        <w:rPr>
          <w:rFonts w:ascii="Perpetua" w:eastAsia="Calibri" w:hAnsi="Perpetua" w:cs="Times New Roman"/>
          <w:i/>
          <w:iCs/>
          <w:kern w:val="2"/>
          <w:sz w:val="20"/>
          <w:szCs w:val="20"/>
          <w14:ligatures w14:val="standardContextual"/>
        </w:rPr>
        <w:t>Hexapla</w:t>
      </w:r>
      <w:r w:rsidRPr="00385665">
        <w:rPr>
          <w:rFonts w:ascii="Perpetua" w:eastAsia="Calibri" w:hAnsi="Perpetua" w:cs="Times New Roman"/>
          <w:kern w:val="2"/>
          <w:sz w:val="20"/>
          <w:szCs w:val="20"/>
          <w14:ligatures w14:val="standardContextual"/>
        </w:rPr>
        <w:t> was not the only work of criticism which Origen undertook. He examined particular problems such as the authorship of the Epistle to the Hebrews. This letter was unlike those of St. Paul. “But who wrote the epistle,” Origen declared, “in truth God knows.” He did mention nevertheless, that Clement of Rome and Luke had both been named as possible authors.</w:t>
      </w:r>
    </w:p>
    <w:p w14:paraId="404D7AF0"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Origen’s critical labours on the text of the Bible formed the basis of his exegetical work. He wrote a commentary on almost every book of the Bible. In his exposition he vindicated the allegorical method against the literalist method and established two canons of interpretation, namely that the Bible is a unity, every text needing to be treated in the light of the teaching of the Bible as a whole, and that the key to every passage in the Old and New Testament alike is Christ. For Origen every text in the Bible could be read at three levels,–the literal, the moral and the spiritual level.</w:t>
      </w:r>
    </w:p>
    <w:p w14:paraId="77721EAD" w14:textId="15B12D0A" w:rsidR="00385665" w:rsidRPr="00F411C4" w:rsidRDefault="00385665" w:rsidP="00F411C4">
      <w:pPr>
        <w:pStyle w:val="ListParagraph"/>
        <w:numPr>
          <w:ilvl w:val="0"/>
          <w:numId w:val="10"/>
        </w:numPr>
        <w:spacing w:after="0" w:line="240" w:lineRule="auto"/>
        <w:ind w:right="288"/>
        <w:jc w:val="both"/>
        <w:rPr>
          <w:rFonts w:ascii="Perpetua" w:eastAsia="Calibri" w:hAnsi="Perpetua" w:cs="Times New Roman"/>
          <w:kern w:val="2"/>
          <w:sz w:val="20"/>
          <w:szCs w:val="20"/>
          <w14:ligatures w14:val="standardContextual"/>
        </w:rPr>
      </w:pPr>
      <w:r w:rsidRPr="00F411C4">
        <w:rPr>
          <w:rFonts w:ascii="Perpetua" w:eastAsia="Calibri" w:hAnsi="Perpetua" w:cs="Times New Roman"/>
          <w:kern w:val="2"/>
          <w:sz w:val="20"/>
          <w:szCs w:val="20"/>
          <w14:ligatures w14:val="standardContextual"/>
        </w:rPr>
        <w:t>The literal meaning commonly was useful but on occasion it had to be set aside. For instance, Christ could not have seen “all the kingdoms of the world,” and, at a literal level, we can make nothing of the text, “Let the dead bury their dead.”</w:t>
      </w:r>
    </w:p>
    <w:p w14:paraId="700FDCB7" w14:textId="1159DEEA" w:rsidR="00385665" w:rsidRPr="00385665" w:rsidRDefault="00385665" w:rsidP="00F411C4">
      <w:pPr>
        <w:pStyle w:val="ListParagraph"/>
        <w:numPr>
          <w:ilvl w:val="0"/>
          <w:numId w:val="10"/>
        </w:numPr>
        <w:spacing w:after="0" w:line="240" w:lineRule="auto"/>
        <w:ind w:right="288"/>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The moral meaning involved drawing out some lesson for the edification of ordinary Christians.</w:t>
      </w:r>
    </w:p>
    <w:p w14:paraId="2B933AB7" w14:textId="0AC924D9" w:rsidR="00385665" w:rsidRPr="00385665" w:rsidRDefault="00385665" w:rsidP="00F411C4">
      <w:pPr>
        <w:pStyle w:val="ListParagraph"/>
        <w:numPr>
          <w:ilvl w:val="0"/>
          <w:numId w:val="10"/>
        </w:numPr>
        <w:spacing w:after="0" w:line="240" w:lineRule="auto"/>
        <w:ind w:right="288"/>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 xml:space="preserve">Origen maintained that the primary purpose of Scripture was to convey spiritual truth. He drew here upon his understanding of Platonism which taught that beyond the visible world lay the spiritual world–of which all </w:t>
      </w:r>
      <w:r w:rsidRPr="00385665">
        <w:rPr>
          <w:rFonts w:ascii="Perpetua" w:eastAsia="Calibri" w:hAnsi="Perpetua" w:cs="Times New Roman"/>
          <w:kern w:val="2"/>
          <w:sz w:val="20"/>
          <w:szCs w:val="20"/>
          <w14:ligatures w14:val="standardContextual"/>
        </w:rPr>
        <w:lastRenderedPageBreak/>
        <w:t>things here are an image and a reflection. For Origen everything in the Bible in a similar way reflected the spiritual order beyond the ordinary material world. Thus, for instance, Jerusalem, Zion, Carmel, and a host of other places, ceased to be geographical locations and expressions and became mirrors of heavenly truth.</w:t>
      </w:r>
    </w:p>
    <w:p w14:paraId="4A40370D"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Indeed Origen’s surprisingly modern canons of interpretation saved the method from some of its vagaries. Nevertheless, the great church historian of the twentieth century, Von Campenhausen commented quite aptly that Origen “remains the prisoner of the assumptions of his Platonising and Gnosticising outlook” in his exegetical work (see H. Von Campenhausen, </w:t>
      </w:r>
      <w:r w:rsidRPr="00385665">
        <w:rPr>
          <w:rFonts w:ascii="Perpetua" w:eastAsia="Calibri" w:hAnsi="Perpetua" w:cs="Times New Roman"/>
          <w:i/>
          <w:iCs/>
          <w:kern w:val="2"/>
          <w:sz w:val="20"/>
          <w:szCs w:val="20"/>
          <w14:ligatures w14:val="standardContextual"/>
        </w:rPr>
        <w:t>The Fathers of the Greek Church</w:t>
      </w:r>
      <w:r w:rsidRPr="00385665">
        <w:rPr>
          <w:rFonts w:ascii="Perpetua" w:eastAsia="Calibri" w:hAnsi="Perpetua" w:cs="Times New Roman"/>
          <w:kern w:val="2"/>
          <w:sz w:val="20"/>
          <w:szCs w:val="20"/>
          <w14:ligatures w14:val="standardContextual"/>
        </w:rPr>
        <w:t> p. 49).</w:t>
      </w:r>
    </w:p>
    <w:p w14:paraId="1C8CCCE2"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w:t>
      </w:r>
    </w:p>
    <w:p w14:paraId="609CC7CD"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p>
    <w:p w14:paraId="79A9EB2C"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Origen’s Indebtedness to Platonism</w:t>
      </w:r>
    </w:p>
    <w:p w14:paraId="06AFDFD0"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2429E689"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Origen’s dependence on Platonic thought may be detected in his approach to the Bible. Origen had little feeling for history and undervalued the Bible’s historical and literal meaning. For him every scriptural text was to be interpreted allegorically so that it might reveal the spiritual order beyond this visible world. The historical world of the Bible was a reflection of the spiritual world beyond. This is similar to Platonism which says that the most abstract is the most real.</w:t>
      </w:r>
    </w:p>
    <w:p w14:paraId="767DE38B"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 xml:space="preserve">Origen’s doctrine of God also betrays his debt to Plato. God is the One, the Absolute. The Word or Son is the exact image of God and co-eternal with him, but remains distinct from him. The Word or Son is the link between God and the world. The Holy Spirit is the first of the beings created by the Word and so is a lesser being than God and the Son. The view of the divine hierarchy has clear analogies with the characteristic Greek view of God as the unknowable, immutable, absolute, linked with the created order only through a graded series of beings. </w:t>
      </w:r>
    </w:p>
    <w:p w14:paraId="568F3A2A"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 xml:space="preserve">Origen believed that the soul of man pre-existed its union with the body and will be enhanced when the body decays. The resurrection of the body, a fundamental tenet of Christian doctrine, had no place in his system. This denial of the unity of man’s body and soul was typical of the Platonizing and the Gnosticizing tendency of Origen’s thought. </w:t>
      </w:r>
    </w:p>
    <w:p w14:paraId="4FB74209"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In view of his obvious debt to Platonism, it seems rather strange that Origen should have spoken coldly of the contribution of Greek philosophy to the development of Christian philosophy and doctrines. It has to be admitted that he was deeply influenced by the intellectual currents he loved to disdain, but he himself was most aware of his points of departure from Platonism.</w:t>
      </w:r>
    </w:p>
    <w:p w14:paraId="446D38DF"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In any estimate of Origen’s philosophical and theological thought, the fundamental Christian themes in his writings must be regarded–his Bible-centered teaching, his concept of divine love in creation and redemption, and his emphasis on the exercise of God’s freedom in the intervention of Christ. Origen was a Christian before he was a Platonist.</w:t>
      </w:r>
    </w:p>
    <w:p w14:paraId="2D2BA88B"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7EED94B0"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G. A. Oshitelu</w:t>
      </w:r>
    </w:p>
    <w:p w14:paraId="0F513030"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lastRenderedPageBreak/>
        <w:t>Bibliography</w:t>
      </w:r>
    </w:p>
    <w:p w14:paraId="38B251FE"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p>
    <w:p w14:paraId="2C004BBA" w14:textId="77777777" w:rsidR="00385665" w:rsidRPr="00385665" w:rsidRDefault="00385665" w:rsidP="00F411C4">
      <w:pPr>
        <w:spacing w:after="0" w:line="240" w:lineRule="auto"/>
        <w:ind w:left="432" w:hanging="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A. H. Armstrong and R. A. Markus, </w:t>
      </w:r>
      <w:r w:rsidRPr="00385665">
        <w:rPr>
          <w:rFonts w:ascii="Perpetua" w:eastAsia="Calibri" w:hAnsi="Perpetua" w:cs="Times New Roman"/>
          <w:i/>
          <w:iCs/>
          <w:kern w:val="2"/>
          <w:sz w:val="20"/>
          <w:szCs w:val="20"/>
          <w14:ligatures w14:val="standardContextual"/>
        </w:rPr>
        <w:t>Christian Faith and Greek Philosophy</w:t>
      </w:r>
      <w:r w:rsidRPr="00385665">
        <w:rPr>
          <w:rFonts w:ascii="Perpetua" w:eastAsia="Calibri" w:hAnsi="Perpetua" w:cs="Times New Roman"/>
          <w:kern w:val="2"/>
          <w:sz w:val="20"/>
          <w:szCs w:val="20"/>
          <w14:ligatures w14:val="standardContextual"/>
        </w:rPr>
        <w:t> (1960).</w:t>
      </w:r>
    </w:p>
    <w:p w14:paraId="2265D8DE" w14:textId="77777777" w:rsidR="00385665" w:rsidRPr="00385665" w:rsidRDefault="00385665" w:rsidP="00F411C4">
      <w:pPr>
        <w:spacing w:after="0" w:line="240" w:lineRule="auto"/>
        <w:ind w:left="432" w:hanging="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W. Baner, </w:t>
      </w:r>
      <w:r w:rsidRPr="00385665">
        <w:rPr>
          <w:rFonts w:ascii="Perpetua" w:eastAsia="Calibri" w:hAnsi="Perpetua" w:cs="Times New Roman"/>
          <w:i/>
          <w:iCs/>
          <w:kern w:val="2"/>
          <w:sz w:val="20"/>
          <w:szCs w:val="20"/>
          <w14:ligatures w14:val="standardContextual"/>
        </w:rPr>
        <w:t>Orthodoxy and Heresy in Earliest Christianity</w:t>
      </w:r>
      <w:r w:rsidRPr="00385665">
        <w:rPr>
          <w:rFonts w:ascii="Perpetua" w:eastAsia="Calibri" w:hAnsi="Perpetua" w:cs="Times New Roman"/>
          <w:kern w:val="2"/>
          <w:sz w:val="20"/>
          <w:szCs w:val="20"/>
          <w14:ligatures w14:val="standardContextual"/>
        </w:rPr>
        <w:t> (London: Redwood Press Ltd. 1972): 56-60.</w:t>
      </w:r>
    </w:p>
    <w:p w14:paraId="383D7C43" w14:textId="77777777" w:rsidR="00385665" w:rsidRPr="00385665" w:rsidRDefault="00385665" w:rsidP="00F411C4">
      <w:pPr>
        <w:spacing w:after="0" w:line="240" w:lineRule="auto"/>
        <w:ind w:left="432" w:hanging="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C. Bigg, </w:t>
      </w:r>
      <w:r w:rsidRPr="00385665">
        <w:rPr>
          <w:rFonts w:ascii="Perpetua" w:eastAsia="Calibri" w:hAnsi="Perpetua" w:cs="Times New Roman"/>
          <w:i/>
          <w:iCs/>
          <w:kern w:val="2"/>
          <w:sz w:val="20"/>
          <w:szCs w:val="20"/>
          <w14:ligatures w14:val="standardContextual"/>
        </w:rPr>
        <w:t>The Christian Platonists of Alexandria</w:t>
      </w:r>
      <w:r w:rsidRPr="00385665">
        <w:rPr>
          <w:rFonts w:ascii="Perpetua" w:eastAsia="Calibri" w:hAnsi="Perpetua" w:cs="Times New Roman"/>
          <w:kern w:val="2"/>
          <w:sz w:val="20"/>
          <w:szCs w:val="20"/>
          <w14:ligatures w14:val="standardContextual"/>
        </w:rPr>
        <w:t>, 2nd Edition (1913).</w:t>
      </w:r>
    </w:p>
    <w:p w14:paraId="29D4F859" w14:textId="77777777" w:rsidR="00385665" w:rsidRPr="00385665" w:rsidRDefault="00385665" w:rsidP="00F411C4">
      <w:pPr>
        <w:spacing w:after="0" w:line="240" w:lineRule="auto"/>
        <w:ind w:left="432" w:hanging="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H. R. Boer, </w:t>
      </w:r>
      <w:r w:rsidRPr="00385665">
        <w:rPr>
          <w:rFonts w:ascii="Perpetua" w:eastAsia="Calibri" w:hAnsi="Perpetua" w:cs="Times New Roman"/>
          <w:i/>
          <w:iCs/>
          <w:kern w:val="2"/>
          <w:sz w:val="20"/>
          <w:szCs w:val="20"/>
          <w14:ligatures w14:val="standardContextual"/>
        </w:rPr>
        <w:t>A Short History of the Early Church</w:t>
      </w:r>
      <w:r w:rsidRPr="00385665">
        <w:rPr>
          <w:rFonts w:ascii="Perpetua" w:eastAsia="Calibri" w:hAnsi="Perpetua" w:cs="Times New Roman"/>
          <w:kern w:val="2"/>
          <w:sz w:val="20"/>
          <w:szCs w:val="20"/>
          <w14:ligatures w14:val="standardContextual"/>
        </w:rPr>
        <w:t> (Ibadan: Daystar Press, 1976): 92-94.</w:t>
      </w:r>
    </w:p>
    <w:p w14:paraId="6A483849" w14:textId="77777777" w:rsidR="00385665" w:rsidRPr="00385665" w:rsidRDefault="00385665" w:rsidP="00F411C4">
      <w:pPr>
        <w:spacing w:after="0" w:line="240" w:lineRule="auto"/>
        <w:ind w:left="432" w:hanging="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H. Chadwick, </w:t>
      </w:r>
      <w:r w:rsidRPr="00385665">
        <w:rPr>
          <w:rFonts w:ascii="Perpetua" w:eastAsia="Calibri" w:hAnsi="Perpetua" w:cs="Times New Roman"/>
          <w:i/>
          <w:iCs/>
          <w:kern w:val="2"/>
          <w:sz w:val="20"/>
          <w:szCs w:val="20"/>
          <w14:ligatures w14:val="standardContextual"/>
        </w:rPr>
        <w:t>Contra Celsum</w:t>
      </w:r>
      <w:r w:rsidRPr="00385665">
        <w:rPr>
          <w:rFonts w:ascii="Perpetua" w:eastAsia="Calibri" w:hAnsi="Perpetua" w:cs="Times New Roman"/>
          <w:kern w:val="2"/>
          <w:sz w:val="20"/>
          <w:szCs w:val="20"/>
          <w14:ligatures w14:val="standardContextual"/>
        </w:rPr>
        <w:t> (London: Oxford University Press, 1965).</w:t>
      </w:r>
    </w:p>
    <w:p w14:paraId="6FA42D12" w14:textId="77777777" w:rsidR="00385665" w:rsidRPr="00385665" w:rsidRDefault="00385665" w:rsidP="00F411C4">
      <w:pPr>
        <w:spacing w:after="0" w:line="240" w:lineRule="auto"/>
        <w:ind w:left="432" w:hanging="432"/>
        <w:jc w:val="both"/>
        <w:rPr>
          <w:rFonts w:ascii="Perpetua" w:eastAsia="Calibri" w:hAnsi="Perpetua" w:cs="Times New Roman"/>
          <w:kern w:val="2"/>
          <w:sz w:val="20"/>
          <w:szCs w:val="20"/>
          <w14:ligatures w14:val="standardContextual"/>
        </w:rPr>
      </w:pPr>
    </w:p>
    <w:p w14:paraId="0862029B" w14:textId="77777777" w:rsidR="00385665" w:rsidRPr="00385665" w:rsidRDefault="00385665" w:rsidP="00F411C4">
      <w:pPr>
        <w:spacing w:after="0" w:line="240" w:lineRule="auto"/>
        <w:ind w:left="432" w:hanging="432"/>
        <w:jc w:val="both"/>
        <w:rPr>
          <w:rFonts w:ascii="Perpetua" w:eastAsia="Calibri" w:hAnsi="Perpetua" w:cs="Times New Roman"/>
          <w:kern w:val="2"/>
          <w:sz w:val="20"/>
          <w:szCs w:val="20"/>
          <w14:ligatures w14:val="standardContextual"/>
        </w:rPr>
      </w:pPr>
    </w:p>
    <w:p w14:paraId="330A998D"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This article is reproduced, with permission, from </w:t>
      </w:r>
      <w:r w:rsidRPr="00385665">
        <w:rPr>
          <w:rFonts w:ascii="Perpetua" w:eastAsia="Calibri" w:hAnsi="Perpetua" w:cs="Times New Roman"/>
          <w:i/>
          <w:iCs/>
          <w:kern w:val="2"/>
          <w:sz w:val="20"/>
          <w:szCs w:val="20"/>
          <w14:ligatures w14:val="standardContextual"/>
        </w:rPr>
        <w:t>The African Fathers of the Early Church</w:t>
      </w:r>
      <w:r w:rsidRPr="00385665">
        <w:rPr>
          <w:rFonts w:ascii="Perpetua" w:eastAsia="Calibri" w:hAnsi="Perpetua" w:cs="Times New Roman"/>
          <w:kern w:val="2"/>
          <w:sz w:val="20"/>
          <w:szCs w:val="20"/>
          <w14:ligatures w14:val="standardContextual"/>
        </w:rPr>
        <w:t>, copyright © 2002, by G. A. Oshitelu, Ibadan, Nigeria. All rights reserved.</w:t>
      </w:r>
    </w:p>
    <w:p w14:paraId="38B17444"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0AC61778"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_________________________</w:t>
      </w:r>
    </w:p>
    <w:p w14:paraId="6C7F03FF"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p>
    <w:p w14:paraId="5FC950AF" w14:textId="7AF0A08E" w:rsidR="00385665" w:rsidRPr="00385665" w:rsidRDefault="00385665" w:rsidP="00385665">
      <w:pPr>
        <w:spacing w:after="0" w:line="240" w:lineRule="auto"/>
        <w:jc w:val="center"/>
        <w:rPr>
          <w:rFonts w:ascii="Perpetua" w:eastAsia="Calibri" w:hAnsi="Perpetua" w:cs="Times New Roman"/>
          <w:b/>
          <w:bCs/>
          <w:kern w:val="2"/>
          <w:sz w:val="24"/>
          <w:szCs w:val="24"/>
          <w14:ligatures w14:val="standardContextual"/>
        </w:rPr>
      </w:pPr>
      <w:r w:rsidRPr="00385665">
        <w:rPr>
          <w:rFonts w:ascii="Perpetua" w:eastAsia="Calibri" w:hAnsi="Perpetua" w:cs="Times New Roman"/>
          <w:b/>
          <w:bCs/>
          <w:kern w:val="2"/>
          <w:sz w:val="24"/>
          <w:szCs w:val="24"/>
          <w14:ligatures w14:val="standardContextual"/>
        </w:rPr>
        <w:t>4</w:t>
      </w:r>
      <w:r w:rsidRPr="00385665">
        <w:rPr>
          <w:rFonts w:ascii="Perpetua" w:eastAsia="Calibri" w:hAnsi="Perpetua" w:cs="Times New Roman"/>
          <w:b/>
          <w:bCs/>
          <w:kern w:val="2"/>
          <w:sz w:val="24"/>
          <w:szCs w:val="24"/>
          <w:vertAlign w:val="superscript"/>
          <w14:ligatures w14:val="standardContextual"/>
        </w:rPr>
        <w:t>th</w:t>
      </w:r>
      <w:r w:rsidRPr="00385665">
        <w:rPr>
          <w:rFonts w:ascii="Perpetua" w:eastAsia="Calibri" w:hAnsi="Perpetua" w:cs="Times New Roman"/>
          <w:b/>
          <w:bCs/>
          <w:kern w:val="2"/>
          <w:sz w:val="24"/>
          <w:szCs w:val="24"/>
          <w14:ligatures w14:val="standardContextual"/>
        </w:rPr>
        <w:t xml:space="preserve"> Centur</w:t>
      </w:r>
      <w:r w:rsidR="00E45BA9">
        <w:rPr>
          <w:rFonts w:ascii="Perpetua" w:eastAsia="Calibri" w:hAnsi="Perpetua" w:cs="Times New Roman"/>
          <w:b/>
          <w:bCs/>
          <w:kern w:val="2"/>
          <w:sz w:val="24"/>
          <w:szCs w:val="24"/>
          <w14:ligatures w14:val="standardContextual"/>
        </w:rPr>
        <w:t>y</w:t>
      </w:r>
    </w:p>
    <w:p w14:paraId="49293DF0"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4E39FD66"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Frumentius (C)</w:t>
      </w:r>
    </w:p>
    <w:p w14:paraId="21BB0A66"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Alternate Names: Abba Salama I or Abba Salama Kasata Berehan</w:t>
      </w:r>
    </w:p>
    <w:p w14:paraId="1F8AA474"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4</w:t>
      </w:r>
      <w:r w:rsidRPr="00385665">
        <w:rPr>
          <w:rFonts w:ascii="Perpetua" w:eastAsia="Calibri" w:hAnsi="Perpetua" w:cs="Times New Roman"/>
          <w:b/>
          <w:bCs/>
          <w:kern w:val="2"/>
          <w:sz w:val="20"/>
          <w:szCs w:val="20"/>
          <w:vertAlign w:val="superscript"/>
          <w14:ligatures w14:val="standardContextual"/>
        </w:rPr>
        <w:t>th</w:t>
      </w:r>
      <w:r w:rsidRPr="00385665">
        <w:rPr>
          <w:rFonts w:ascii="Perpetua" w:eastAsia="Calibri" w:hAnsi="Perpetua" w:cs="Times New Roman"/>
          <w:b/>
          <w:bCs/>
          <w:kern w:val="2"/>
          <w:sz w:val="20"/>
          <w:szCs w:val="20"/>
          <w14:ligatures w14:val="standardContextual"/>
        </w:rPr>
        <w:t xml:space="preserve"> century</w:t>
      </w:r>
    </w:p>
    <w:p w14:paraId="24D3AEDD"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Ancient Christian Church</w:t>
      </w:r>
    </w:p>
    <w:p w14:paraId="67E81B04"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Ethiopia</w:t>
      </w:r>
    </w:p>
    <w:p w14:paraId="4E615446"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06EAE9E2"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Frumentius (F’ré Menatos), who flourished in the 4th century AD, also known as Abba Salama I, or Abba Salama Kasata Berehan, was the first bishop of Ethiopia, and is widely regarded as the man who introduced Christianity to Aksum.</w:t>
      </w:r>
    </w:p>
    <w:p w14:paraId="7D1B3E84"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The first version of this claim comes from Tyrannius Rufinus (circa 345-410/11), the Roman-trained writer and theologian, who heard it from Frumentius’ brother, Aedesiu. The account is also carried by many other analysts, such as the Byzantine church historian Socrates (circa 380-450), the theologian bishop Theodoret of Gyrrhus near Antioch (circa 393-circa 458), the Greek church historian Sozomen (circa 400-circa 450), and the Byzantine historian Nicephoras Callistus Xanthopolous (circa 1256-circa 1335).</w:t>
      </w:r>
    </w:p>
    <w:p w14:paraId="193A4FBB"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The story goes that a merchant of Tyre, Meropius, traveled to India, accompanied by his young brothers. On the return journey, the ship put in at a port on the coast of “India” (evidently Eritrea), which was perhaps the Aksumite port of Adulis (modern Zula, a village 30 miles, or 48 km, south-southeast of Massawa), and which had suspended its treaty relations with Rome. Meropius and the ship’s crew were massacred, but the boys were handed over to the ruler of Aksum, who was so impressed with them that he made Aedesius his cup-bearer and Frumentius his steward. When the ruler died, his queen, who was the regent for her young son, asked the brothers, particularly Frumentius, to join her as co-regents. Frumentius used the opportunity to build churches in the country.</w:t>
      </w:r>
    </w:p>
    <w:p w14:paraId="6D11837C"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lastRenderedPageBreak/>
        <w:t>When the young boy reached his majority, Aedesius obtained leave to visit his relatives in Tyre, while Frumentius was permitted to go to Alexandria in Egypt to obtain a bishop for the country. Saint Athanasius (circa 293-373), the ecclesiastical statesman, who was to defend Christian orthodoxy against the Arian heresy, had just become Patriarch of Alexandria, in 328, and decided to consecrate Frumentius himself as the bishop.</w:t>
      </w:r>
    </w:p>
    <w:p w14:paraId="53EE21FC"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Frumentius then returned to carry on his work at Aksum, the traditional date for this event being 333. When Frumentius returned to Aksum as bishop, the Emperors Abreha and Asbeha were on the throne, and it seems reasonable to suppose that these names referred to the brothers Ezana (</w:t>
      </w:r>
      <w:r w:rsidRPr="00385665">
        <w:rPr>
          <w:rFonts w:ascii="Perpetua" w:eastAsia="Calibri" w:hAnsi="Perpetua" w:cs="Times New Roman"/>
          <w:i/>
          <w:iCs/>
          <w:kern w:val="2"/>
          <w:sz w:val="20"/>
          <w:szCs w:val="20"/>
          <w14:ligatures w14:val="standardContextual"/>
        </w:rPr>
        <w:t>q.v.</w:t>
      </w:r>
      <w:r w:rsidRPr="00385665">
        <w:rPr>
          <w:rFonts w:ascii="Perpetua" w:eastAsia="Calibri" w:hAnsi="Perpetua" w:cs="Times New Roman"/>
          <w:kern w:val="2"/>
          <w:sz w:val="20"/>
          <w:szCs w:val="20"/>
          <w14:ligatures w14:val="standardContextual"/>
        </w:rPr>
        <w:t>) and Sayzana (</w:t>
      </w:r>
      <w:r w:rsidRPr="00385665">
        <w:rPr>
          <w:rFonts w:ascii="Perpetua" w:eastAsia="Calibri" w:hAnsi="Perpetua" w:cs="Times New Roman"/>
          <w:i/>
          <w:iCs/>
          <w:kern w:val="2"/>
          <w:sz w:val="20"/>
          <w:szCs w:val="20"/>
          <w14:ligatures w14:val="standardContextual"/>
        </w:rPr>
        <w:t>q.v.</w:t>
      </w:r>
      <w:r w:rsidRPr="00385665">
        <w:rPr>
          <w:rFonts w:ascii="Perpetua" w:eastAsia="Calibri" w:hAnsi="Perpetua" w:cs="Times New Roman"/>
          <w:kern w:val="2"/>
          <w:sz w:val="20"/>
          <w:szCs w:val="20"/>
          <w14:ligatures w14:val="standardContextual"/>
        </w:rPr>
        <w:t>).</w:t>
      </w:r>
    </w:p>
    <w:p w14:paraId="719A96C9"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In 356, when the Arian schism had split Christendom, the pro-Arian Emperor Constantius II, sole ruler of the Roman Empire from 353-61, who had recently deposed Athanasius and sent him into exile, wrote a letter to the two rulers of Aksum, Ezana and Sayzana. In the letter he asked them to send Frumentius, bishop of Aksum, to Egypt, for his faith to be tested. There is no record that they complied with his request, and nothing is known of Frumentius’s later activities.</w:t>
      </w:r>
    </w:p>
    <w:p w14:paraId="52979FD8"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 xml:space="preserve">The Ethiopian version of these events is contained in the </w:t>
      </w:r>
      <w:r w:rsidRPr="00385665">
        <w:rPr>
          <w:rFonts w:ascii="Perpetua" w:eastAsia="Calibri" w:hAnsi="Perpetua" w:cs="Times New Roman"/>
          <w:i/>
          <w:iCs/>
          <w:kern w:val="2"/>
          <w:sz w:val="20"/>
          <w:szCs w:val="20"/>
          <w14:ligatures w14:val="standardContextual"/>
        </w:rPr>
        <w:t>Sinkessar</w:t>
      </w:r>
      <w:r w:rsidRPr="00385665">
        <w:rPr>
          <w:rFonts w:ascii="Perpetua" w:eastAsia="Calibri" w:hAnsi="Perpetua" w:cs="Times New Roman"/>
          <w:kern w:val="2"/>
          <w:sz w:val="20"/>
          <w:szCs w:val="20"/>
          <w14:ligatures w14:val="standardContextual"/>
        </w:rPr>
        <w:t xml:space="preserve"> (“Synaxarium”), the collected biographies of Ethiopian Orthodox saints, compiled in the fourteenth century. It agrees substantially with Rufinus’s account, but adds that when the brothers arrived, the ruler of Ethiopia was Emperor Ella Alada, or Ella Ameda, the latter form being attested in inscriptions as being the name of the father of Ezana.</w:t>
      </w:r>
    </w:p>
    <w:p w14:paraId="1DDC0101"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p>
    <w:p w14:paraId="1C1F4D8B"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A. K. Irvine</w:t>
      </w:r>
    </w:p>
    <w:p w14:paraId="77EEA097"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1893AB8E"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p>
    <w:p w14:paraId="7429333C"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Bibliography</w:t>
      </w:r>
    </w:p>
    <w:p w14:paraId="6B9F7E07"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60B2CED9"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F. Altheim, </w:t>
      </w:r>
      <w:r w:rsidRPr="00385665">
        <w:rPr>
          <w:rFonts w:ascii="Perpetua" w:eastAsia="Calibri" w:hAnsi="Perpetua" w:cs="Times New Roman"/>
          <w:i/>
          <w:iCs/>
          <w:kern w:val="2"/>
          <w:sz w:val="20"/>
          <w:szCs w:val="20"/>
          <w14:ligatures w14:val="standardContextual"/>
        </w:rPr>
        <w:t>Geschichte der Hunnen</w:t>
      </w:r>
      <w:r w:rsidRPr="00385665">
        <w:rPr>
          <w:rFonts w:ascii="Perpetua" w:eastAsia="Calibri" w:hAnsi="Perpetua" w:cs="Times New Roman"/>
          <w:kern w:val="2"/>
          <w:sz w:val="20"/>
          <w:szCs w:val="20"/>
          <w14:ligatures w14:val="standardContextual"/>
        </w:rPr>
        <w:t> (“History of the Huns”), vol. 5, Berlin, 1962; r. Basset, </w:t>
      </w:r>
      <w:r w:rsidRPr="00385665">
        <w:rPr>
          <w:rFonts w:ascii="Perpetua" w:eastAsia="Calibri" w:hAnsi="Perpetua" w:cs="Times New Roman"/>
          <w:i/>
          <w:iCs/>
          <w:kern w:val="2"/>
          <w:sz w:val="20"/>
          <w:szCs w:val="20"/>
          <w14:ligatures w14:val="standardContextual"/>
        </w:rPr>
        <w:t>Etudes sur l’histoire d’Ethiopie</w:t>
      </w:r>
      <w:r w:rsidRPr="00385665">
        <w:rPr>
          <w:rFonts w:ascii="Perpetua" w:eastAsia="Calibri" w:hAnsi="Perpetua" w:cs="Times New Roman"/>
          <w:kern w:val="2"/>
          <w:sz w:val="20"/>
          <w:szCs w:val="20"/>
          <w14:ligatures w14:val="standardContextual"/>
        </w:rPr>
        <w:t> (“Studies in Ethiopian History”), Paris, 1882; E. A. Wallis Budge, </w:t>
      </w:r>
      <w:r w:rsidRPr="00385665">
        <w:rPr>
          <w:rFonts w:ascii="Perpetua" w:eastAsia="Calibri" w:hAnsi="Perpetua" w:cs="Times New Roman"/>
          <w:i/>
          <w:iCs/>
          <w:kern w:val="2"/>
          <w:sz w:val="20"/>
          <w:szCs w:val="20"/>
          <w14:ligatures w14:val="standardContextual"/>
        </w:rPr>
        <w:t>The Book of Saints of the Ethiopian Church</w:t>
      </w:r>
      <w:r w:rsidRPr="00385665">
        <w:rPr>
          <w:rFonts w:ascii="Perpetua" w:eastAsia="Calibri" w:hAnsi="Perpetua" w:cs="Times New Roman"/>
          <w:kern w:val="2"/>
          <w:sz w:val="20"/>
          <w:szCs w:val="20"/>
          <w14:ligatures w14:val="standardContextual"/>
        </w:rPr>
        <w:t>, Cambridge, 1928; C. Conti Rossini, </w:t>
      </w:r>
      <w:r w:rsidRPr="00385665">
        <w:rPr>
          <w:rFonts w:ascii="Perpetua" w:eastAsia="Calibri" w:hAnsi="Perpetua" w:cs="Times New Roman"/>
          <w:i/>
          <w:iCs/>
          <w:kern w:val="2"/>
          <w:sz w:val="20"/>
          <w:szCs w:val="20"/>
          <w14:ligatures w14:val="standardContextual"/>
        </w:rPr>
        <w:t>Storia d’Ethiopia</w:t>
      </w:r>
      <w:r w:rsidRPr="00385665">
        <w:rPr>
          <w:rFonts w:ascii="Perpetua" w:eastAsia="Calibri" w:hAnsi="Perpetua" w:cs="Times New Roman"/>
          <w:kern w:val="2"/>
          <w:sz w:val="20"/>
          <w:szCs w:val="20"/>
          <w14:ligatures w14:val="standardContextual"/>
        </w:rPr>
        <w:t> (“History of Ethiopia”), Bergamo, 1928.</w:t>
      </w:r>
    </w:p>
    <w:p w14:paraId="46B641DC"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59096565"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5883B0AD"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This article was reprinted from </w:t>
      </w:r>
      <w:r w:rsidRPr="00385665">
        <w:rPr>
          <w:rFonts w:ascii="Perpetua" w:eastAsia="Calibri" w:hAnsi="Perpetua" w:cs="Times New Roman"/>
          <w:i/>
          <w:iCs/>
          <w:kern w:val="2"/>
          <w:sz w:val="20"/>
          <w:szCs w:val="20"/>
          <w14:ligatures w14:val="standardContextual"/>
        </w:rPr>
        <w:t>The Encyclopaedia Africana Dictionary of African Biography</w:t>
      </w:r>
      <w:r w:rsidRPr="00385665">
        <w:rPr>
          <w:rFonts w:ascii="Perpetua" w:eastAsia="Calibri" w:hAnsi="Perpetua" w:cs="Times New Roman"/>
          <w:kern w:val="2"/>
          <w:sz w:val="20"/>
          <w:szCs w:val="20"/>
          <w14:ligatures w14:val="standardContextual"/>
        </w:rPr>
        <w:t> (in 20 Volumes). Volume One Ethiopia-Ghana, ©1997 by L. H. Ofosu-Appiah, editor-in-chief, Reference Publications Inc., New York, NY. All rights reserved.</w:t>
      </w:r>
    </w:p>
    <w:p w14:paraId="4F1DC6A5"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445A9410"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61EF07C5"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________________________</w:t>
      </w:r>
    </w:p>
    <w:p w14:paraId="2A0A083B"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11DDA266" w14:textId="77777777" w:rsidR="00385665" w:rsidRDefault="00385665" w:rsidP="00385665">
      <w:pPr>
        <w:spacing w:after="0" w:line="240" w:lineRule="auto"/>
        <w:jc w:val="both"/>
        <w:rPr>
          <w:rFonts w:ascii="Perpetua" w:eastAsia="Calibri" w:hAnsi="Perpetua" w:cs="Times New Roman"/>
          <w:b/>
          <w:bCs/>
          <w:kern w:val="2"/>
          <w:sz w:val="20"/>
          <w:szCs w:val="20"/>
          <w14:ligatures w14:val="standardContextual"/>
        </w:rPr>
      </w:pPr>
    </w:p>
    <w:p w14:paraId="31DF6220" w14:textId="77777777" w:rsidR="00A5608B" w:rsidRDefault="00A5608B" w:rsidP="00385665">
      <w:pPr>
        <w:spacing w:after="0" w:line="240" w:lineRule="auto"/>
        <w:jc w:val="both"/>
        <w:rPr>
          <w:rFonts w:ascii="Perpetua" w:eastAsia="Calibri" w:hAnsi="Perpetua" w:cs="Times New Roman"/>
          <w:b/>
          <w:bCs/>
          <w:kern w:val="2"/>
          <w:sz w:val="20"/>
          <w:szCs w:val="20"/>
          <w14:ligatures w14:val="standardContextual"/>
        </w:rPr>
      </w:pPr>
    </w:p>
    <w:p w14:paraId="402E10A1" w14:textId="77777777" w:rsidR="00A5608B" w:rsidRDefault="00A5608B" w:rsidP="00385665">
      <w:pPr>
        <w:spacing w:after="0" w:line="240" w:lineRule="auto"/>
        <w:jc w:val="both"/>
        <w:rPr>
          <w:rFonts w:ascii="Perpetua" w:eastAsia="Calibri" w:hAnsi="Perpetua" w:cs="Times New Roman"/>
          <w:b/>
          <w:bCs/>
          <w:kern w:val="2"/>
          <w:sz w:val="20"/>
          <w:szCs w:val="20"/>
          <w14:ligatures w14:val="standardContextual"/>
        </w:rPr>
      </w:pPr>
    </w:p>
    <w:p w14:paraId="5DEA75FB" w14:textId="61C43B91"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lastRenderedPageBreak/>
        <w:t>Monica (B)</w:t>
      </w:r>
    </w:p>
    <w:p w14:paraId="06BD0105"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331/2 –  387</w:t>
      </w:r>
    </w:p>
    <w:p w14:paraId="1BDCC056"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Ancient Christian Church</w:t>
      </w:r>
    </w:p>
    <w:p w14:paraId="7ECB5A76"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Algeria</w:t>
      </w:r>
    </w:p>
    <w:p w14:paraId="5A5A5C0C"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578A29E0"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The mother of Augustine (November 13, 354 - August 28, 430) (q.v.; cf. Q 4.342-462), bishop of Hippo, remains one of the few non-imperial women of the fourth century about whom there is nearly sufficient material upon which to compile a full biographical perspective. Moreover, she is revealed to portray a dominant, almost domineering, personality, quite at odds with her assumed status within either the Christian church or the Roman society of her time. She may be compared and contrasted with the equally well-known mother, Nonna, and sister, Gorgonia, of the greater Greek theologian Gregory of Nazianzen, or with the grandmother, Macrina, mother, Emmelia, and sister, Macrina the Younger, of the comparable Greek theologians Basil of Caesarea and his brother Gregory of Nyssa, or with those feminine correspondents, Paula and one of her five children, Eutochium, of Augustine’s contemporary, Jerome (cf. Alexandre 1994:409-444; van der Meer 1961:217-225).</w:t>
      </w:r>
    </w:p>
    <w:p w14:paraId="6A755754"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Monica was born of Berber stock in Thagaste within the Roman province of (North) Africa subsequent to the Christianization of the imperial government, during the later administration of Constantine the Great [17 February 17, 274 - May 22, 337, reigned as co-Augustus from spring 307 and alone from 324]. Every indication is that she was a Christian from her youth. Of her ancestry there is no record. As noted by Aline Rousselle, “Roman law fixed the age at which a daughter given to a spouse by her father officially became a matron, a recognized spouse with all the privileges set forth in marriage law. That age was twelve years” (1994:302) – at which age Macrina the Younger was betrothed to a fiancé, who died before the marriage was consummated such that she remained a virgin. A comparable age for Monica may be calculated, since Augustine specifies that she died at the age of fifty-six when he was thirty-three years old (Confessions IX.11).</w:t>
      </w:r>
    </w:p>
    <w:p w14:paraId="32A4335E"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 xml:space="preserve">Again, as was common under Roman law, marriage entailed that “the bride left her father’s household to take up residence with her husband” whereat she was also “welcomed by his mother and father” (Zaidman 1994:360, 364), which is precisely the account given by Augustine, with the accompanying affirmation that Monica had fit in well such that in spite of how “hot-tempered a husband my mother had to cope with” nothing indicated “there had been any domestic disagreement between them, even for one day”; and moreover while “her mother-in-law was at first prejudiced against her by the tale-bearing of malicious servants,” Monica “won the older woman over by her dutiful attentions and her constant patience and gentleness” (Confessions IX.9). As defined within Graeco-Roman custom was the difference in age between men and women at marriage – him being some fifteen to twenty years older (Zaidman:365); and the respective years of death for Monica and her husband would bear this commonplace out.  </w:t>
      </w:r>
    </w:p>
    <w:p w14:paraId="60536EAB"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 xml:space="preserve">We do not learn the names of any of Augustine’s grandparents, nor of both his two sisters, nor of his mistresses, but only that he had at least one brother, Navigius </w:t>
      </w:r>
      <w:r w:rsidRPr="00385665">
        <w:rPr>
          <w:rFonts w:ascii="Perpetua" w:eastAsia="Calibri" w:hAnsi="Perpetua" w:cs="Times New Roman"/>
          <w:kern w:val="2"/>
          <w:sz w:val="20"/>
          <w:szCs w:val="20"/>
          <w14:ligatures w14:val="standardContextual"/>
        </w:rPr>
        <w:lastRenderedPageBreak/>
        <w:t xml:space="preserve">(q.v.), and but one son, Adeodatus (q.v.); Monica’s husband, his father, was named Patricius (q.v.), but he died two years before Augustine was nineteen (371; Confessions III.4), and Monica did not remarry (Frend 1988:135-151; van der Meer 1961: passim). Within that early household Augustine tells us he learned Latin “without being forced by threats of punishment . . ., not from schoolmasters, but from people who spoke to me and listened when I delivered to their ears whatever thoughts I had conceived,” which was in marked contrast to the way he “was forced to study Homer” and thereby learn with great distaste the Greek language and its literature (Confessions I.14). </w:t>
      </w:r>
    </w:p>
    <w:p w14:paraId="7BC987EF"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 xml:space="preserve">By the age of sixteen (370), Augustine also studied at nearby Madaura (Confessions II.3) under the tutelage of the “pagan” Maximus, with whom, in correspondence exchanged at a much later date (390), reference was made to their both being Africans with a common heritage and education in the Punic language of ancestral Northwest Africa [Letters ##16-17 = NPNF ser.1 1.233-235]. But as William Hugh Clifford Frend has observed, “Augustine was first and foremost an African, and was influenced throughout his life by the Berber (as distinct from the Punic) background of his upbringing,” though of his later sermons it could be said they were “in a faultless Latin without trace of barbarism” (1952:230, 57-58, 327). Clearly, the home situation under Monica’s guidance was multi-lingual. Moreover, as observed by Rousselle, “the division of responsibility between husband and wife would continue throughout the child’s upbringing, which was left in the charge of women until the child reached the age when its sex and social needs determined what course further education would take” (1994:368). </w:t>
      </w:r>
    </w:p>
    <w:p w14:paraId="7D70D8A7"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Monica was instrumental in the conversion of her husband to Christianity not long before his death (Confessions IX.9), and in the instilling within her son the seeds of such a possibility, in spite of the postponement of his baptism, long before these took root and grew into his statured role (Confessions I.11). Augustine’s own career took him from higher education in Carthage, as determined by his father, whereat he studied philosophy and rhetoric (Confessions III), from whence he became a teacher of rhetoric first at Thagaste (375; Confessions IV) and then at Carthage (376-383), before voyaging via Rome to take up a comparable position at Milan (384) where he not only encountered Ambrose (Q 4.144-180) but was joined by Monica (385) for the remainder of her days. Of Monica’s own intellectual capacities beyond its focus upon Bible and the cult of martyrs, Frend has noted that “while lacking any formal literary education, (she) was able to hold her own in a philosophical discussion” (1988:143).</w:t>
      </w:r>
    </w:p>
    <w:p w14:paraId="6D34702F"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She died at the Roman port of Ostia as they were returning to Africa, but not before witnessing the baptism into the “Catholic” church (Confessions IX.6) of Augustine and his son Adeodatus, along with Augustine’s friend and colleague Alypius (q.v.; Confessions VI.7-12) on Holy Saturday, April 24, 387. Her ultimate influence upon her incomparable son is the other side of his own “confessional” autobiography. Her own cult developed in the later Middle Ages; her supposed remains were transferred from Ostia to Rome in 1430 by Martin V (pope November 11, 1417 - February 20, 1431; ODP 239-240).</w:t>
      </w:r>
    </w:p>
    <w:p w14:paraId="0FC09C1C"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p>
    <w:p w14:paraId="6B319A56"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lastRenderedPageBreak/>
        <w:t>Clyde Curry Smith</w:t>
      </w:r>
    </w:p>
    <w:p w14:paraId="68FACFF9"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790971AC"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7A5ADB1A"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 xml:space="preserve">Bibliography </w:t>
      </w:r>
    </w:p>
    <w:p w14:paraId="0A946BF6"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p>
    <w:p w14:paraId="7AFE650D" w14:textId="77777777" w:rsidR="00385665" w:rsidRPr="00385665" w:rsidRDefault="00385665" w:rsidP="00385665">
      <w:pPr>
        <w:spacing w:after="0" w:line="240" w:lineRule="auto"/>
        <w:ind w:left="720" w:hanging="720"/>
        <w:jc w:val="both"/>
        <w:rPr>
          <w:rFonts w:ascii="Perpetua" w:eastAsia="Calibri" w:hAnsi="Perpetua" w:cs="Times New Roman"/>
          <w:kern w:val="2"/>
          <w:sz w:val="20"/>
          <w:szCs w:val="20"/>
          <w14:ligatures w14:val="standardContextual"/>
        </w:rPr>
      </w:pPr>
      <w:r w:rsidRPr="00385665">
        <w:rPr>
          <w:rFonts w:ascii="Perpetua" w:eastAsia="Calibri" w:hAnsi="Perpetua" w:cs="Times New Roman"/>
          <w:i/>
          <w:iCs/>
          <w:kern w:val="2"/>
          <w:sz w:val="20"/>
          <w:szCs w:val="20"/>
          <w14:ligatures w14:val="standardContextual"/>
        </w:rPr>
        <w:t>The Oxford Dictionary of the Christian Church</w:t>
      </w:r>
      <w:r w:rsidRPr="00385665">
        <w:rPr>
          <w:rFonts w:ascii="Perpetua" w:eastAsia="Calibri" w:hAnsi="Perpetua" w:cs="Times New Roman"/>
          <w:kern w:val="2"/>
          <w:sz w:val="20"/>
          <w:szCs w:val="20"/>
          <w14:ligatures w14:val="standardContextual"/>
        </w:rPr>
        <w:t>, ed. F. L. Cross (1957), 915.</w:t>
      </w:r>
    </w:p>
    <w:p w14:paraId="0C7795C4" w14:textId="77777777" w:rsidR="00385665" w:rsidRPr="00385665" w:rsidRDefault="00385665" w:rsidP="00385665">
      <w:pPr>
        <w:spacing w:after="0" w:line="240" w:lineRule="auto"/>
        <w:ind w:left="720" w:hanging="720"/>
        <w:jc w:val="both"/>
        <w:rPr>
          <w:rFonts w:ascii="Perpetua" w:eastAsia="Calibri" w:hAnsi="Perpetua" w:cs="Times New Roman"/>
          <w:kern w:val="2"/>
          <w:sz w:val="20"/>
          <w:szCs w:val="20"/>
          <w14:ligatures w14:val="standardContextual"/>
        </w:rPr>
      </w:pPr>
      <w:r w:rsidRPr="00385665">
        <w:rPr>
          <w:rFonts w:ascii="Perpetua" w:eastAsia="Calibri" w:hAnsi="Perpetua" w:cs="Times New Roman"/>
          <w:i/>
          <w:iCs/>
          <w:kern w:val="2"/>
          <w:sz w:val="20"/>
          <w:szCs w:val="20"/>
          <w14:ligatures w14:val="standardContextual"/>
        </w:rPr>
        <w:t>The Penguin Dictionary of Saints,</w:t>
      </w:r>
      <w:r w:rsidRPr="00385665">
        <w:rPr>
          <w:rFonts w:ascii="Perpetua" w:eastAsia="Calibri" w:hAnsi="Perpetua" w:cs="Times New Roman"/>
          <w:kern w:val="2"/>
          <w:sz w:val="20"/>
          <w:szCs w:val="20"/>
          <w14:ligatures w14:val="standardContextual"/>
        </w:rPr>
        <w:t xml:space="preserve"> ed. Donald Attwater (1965), 246-247. </w:t>
      </w:r>
    </w:p>
    <w:p w14:paraId="62B9455C" w14:textId="77777777" w:rsidR="00385665" w:rsidRPr="00385665" w:rsidRDefault="00385665" w:rsidP="00385665">
      <w:pPr>
        <w:spacing w:after="0" w:line="240" w:lineRule="auto"/>
        <w:ind w:left="720" w:hanging="720"/>
        <w:jc w:val="both"/>
        <w:rPr>
          <w:rFonts w:ascii="Perpetua" w:eastAsia="Calibri" w:hAnsi="Perpetua" w:cs="Times New Roman"/>
          <w:kern w:val="2"/>
          <w:sz w:val="20"/>
          <w:szCs w:val="20"/>
          <w14:ligatures w14:val="standardContextual"/>
        </w:rPr>
      </w:pPr>
      <w:r w:rsidRPr="00385665">
        <w:rPr>
          <w:rFonts w:ascii="Perpetua" w:eastAsia="Calibri" w:hAnsi="Perpetua" w:cs="Times New Roman"/>
          <w:i/>
          <w:iCs/>
          <w:kern w:val="2"/>
          <w:sz w:val="20"/>
          <w:szCs w:val="20"/>
          <w14:ligatures w14:val="standardContextual"/>
        </w:rPr>
        <w:t>The New International Dictionary of the Christian Church,</w:t>
      </w:r>
      <w:r w:rsidRPr="00385665">
        <w:rPr>
          <w:rFonts w:ascii="Perpetua" w:eastAsia="Calibri" w:hAnsi="Perpetua" w:cs="Times New Roman"/>
          <w:kern w:val="2"/>
          <w:sz w:val="20"/>
          <w:szCs w:val="20"/>
          <w14:ligatures w14:val="standardContextual"/>
        </w:rPr>
        <w:t xml:space="preserve"> ed. J. D. Douglas (1974), 672 (DFWright). </w:t>
      </w:r>
    </w:p>
    <w:p w14:paraId="78A6CD5C" w14:textId="77777777" w:rsidR="00385665" w:rsidRPr="00385665" w:rsidRDefault="00385665" w:rsidP="00385665">
      <w:pPr>
        <w:spacing w:after="0" w:line="240" w:lineRule="auto"/>
        <w:ind w:left="720" w:hanging="720"/>
        <w:jc w:val="both"/>
        <w:rPr>
          <w:rFonts w:ascii="Perpetua" w:eastAsia="Calibri" w:hAnsi="Perpetua" w:cs="Times New Roman"/>
          <w:kern w:val="2"/>
          <w:sz w:val="20"/>
          <w:szCs w:val="20"/>
          <w14:ligatures w14:val="standardContextual"/>
        </w:rPr>
      </w:pPr>
      <w:r w:rsidRPr="00385665">
        <w:rPr>
          <w:rFonts w:ascii="Perpetua" w:eastAsia="Calibri" w:hAnsi="Perpetua" w:cs="Times New Roman"/>
          <w:i/>
          <w:iCs/>
          <w:kern w:val="2"/>
          <w:sz w:val="20"/>
          <w:szCs w:val="20"/>
          <w14:ligatures w14:val="standardContextual"/>
        </w:rPr>
        <w:t>Encyclopedia of the Early Church, </w:t>
      </w:r>
      <w:r w:rsidRPr="00385665">
        <w:rPr>
          <w:rFonts w:ascii="Perpetua" w:eastAsia="Calibri" w:hAnsi="Perpetua" w:cs="Times New Roman"/>
          <w:kern w:val="2"/>
          <w:sz w:val="20"/>
          <w:szCs w:val="20"/>
          <w14:ligatures w14:val="standardContextual"/>
        </w:rPr>
        <w:t xml:space="preserve">ed. A. DiBerardino (1992), 2 volumes, 568 (ATrape). </w:t>
      </w:r>
    </w:p>
    <w:p w14:paraId="322134B0" w14:textId="77777777" w:rsidR="00385665" w:rsidRPr="00385665" w:rsidRDefault="00385665" w:rsidP="00385665">
      <w:pPr>
        <w:spacing w:after="0" w:line="240" w:lineRule="auto"/>
        <w:ind w:left="720" w:hanging="720"/>
        <w:jc w:val="both"/>
        <w:rPr>
          <w:rFonts w:ascii="Perpetua" w:eastAsia="Calibri" w:hAnsi="Perpetua" w:cs="Times New Roman"/>
          <w:kern w:val="2"/>
          <w:sz w:val="20"/>
          <w:szCs w:val="20"/>
          <w14:ligatures w14:val="standardContextual"/>
        </w:rPr>
      </w:pPr>
      <w:r w:rsidRPr="00385665">
        <w:rPr>
          <w:rFonts w:ascii="Perpetua" w:eastAsia="Calibri" w:hAnsi="Perpetua" w:cs="Times New Roman"/>
          <w:i/>
          <w:iCs/>
          <w:kern w:val="2"/>
          <w:sz w:val="20"/>
          <w:szCs w:val="20"/>
          <w14:ligatures w14:val="standardContextual"/>
        </w:rPr>
        <w:t>The Oxford Dictionary of the Christian Church</w:t>
      </w:r>
      <w:r w:rsidRPr="00385665">
        <w:rPr>
          <w:rFonts w:ascii="Perpetua" w:eastAsia="Calibri" w:hAnsi="Perpetua" w:cs="Times New Roman"/>
          <w:kern w:val="2"/>
          <w:sz w:val="20"/>
          <w:szCs w:val="20"/>
          <w14:ligatures w14:val="standardContextual"/>
        </w:rPr>
        <w:t>, ed. F. L. Cross (1957) 3, 1104.</w:t>
      </w:r>
    </w:p>
    <w:p w14:paraId="3EEF1DED"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p>
    <w:p w14:paraId="765BECB4"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Supplementary Bibliography</w:t>
      </w:r>
    </w:p>
    <w:p w14:paraId="3F94ACE7"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45B9E8F8" w14:textId="77777777" w:rsidR="00385665" w:rsidRPr="00385665" w:rsidRDefault="00385665" w:rsidP="00385665">
      <w:pPr>
        <w:spacing w:after="0" w:line="240" w:lineRule="auto"/>
        <w:ind w:left="720" w:hanging="720"/>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Alexandre 1994. “Early Christian Women,” by Monique Alexandre, in </w:t>
      </w:r>
      <w:r w:rsidRPr="00385665">
        <w:rPr>
          <w:rFonts w:ascii="Perpetua" w:eastAsia="Calibri" w:hAnsi="Perpetua" w:cs="Times New Roman"/>
          <w:i/>
          <w:iCs/>
          <w:kern w:val="2"/>
          <w:sz w:val="20"/>
          <w:szCs w:val="20"/>
          <w14:ligatures w14:val="standardContextual"/>
        </w:rPr>
        <w:t>A History of Women in the West, volume I: From Ancient Goddesses to Christian Saints</w:t>
      </w:r>
      <w:r w:rsidRPr="00385665">
        <w:rPr>
          <w:rFonts w:ascii="Perpetua" w:eastAsia="Calibri" w:hAnsi="Perpetua" w:cs="Times New Roman"/>
          <w:kern w:val="2"/>
          <w:sz w:val="20"/>
          <w:szCs w:val="20"/>
          <w14:ligatures w14:val="standardContextual"/>
        </w:rPr>
        <w:t>, edited by Pauline Schmitt Pantel, translated by Arthur Goldhammer. Cambridge, MA: The Belknap Press of Harvard University Press. Pp.409-444.</w:t>
      </w:r>
    </w:p>
    <w:p w14:paraId="082B3DC6" w14:textId="77777777" w:rsidR="00385665" w:rsidRPr="00385665" w:rsidRDefault="00385665" w:rsidP="00385665">
      <w:pPr>
        <w:spacing w:after="0" w:line="240" w:lineRule="auto"/>
        <w:ind w:left="720" w:hanging="720"/>
        <w:jc w:val="both"/>
        <w:rPr>
          <w:rFonts w:ascii="Perpetua" w:eastAsia="Calibri" w:hAnsi="Perpetua" w:cs="Times New Roman"/>
          <w:kern w:val="2"/>
          <w:sz w:val="20"/>
          <w:szCs w:val="20"/>
          <w14:ligatures w14:val="standardContextual"/>
        </w:rPr>
      </w:pPr>
      <w:r w:rsidRPr="00385665">
        <w:rPr>
          <w:rFonts w:ascii="Perpetua" w:eastAsia="Calibri" w:hAnsi="Perpetua" w:cs="Times New Roman"/>
          <w:i/>
          <w:iCs/>
          <w:kern w:val="2"/>
          <w:sz w:val="20"/>
          <w:szCs w:val="20"/>
          <w14:ligatures w14:val="standardContextual"/>
        </w:rPr>
        <w:t>Saint Augustine Confessions</w:t>
      </w:r>
      <w:r w:rsidRPr="00385665">
        <w:rPr>
          <w:rFonts w:ascii="Perpetua" w:eastAsia="Calibri" w:hAnsi="Perpetua" w:cs="Times New Roman"/>
          <w:kern w:val="2"/>
          <w:sz w:val="20"/>
          <w:szCs w:val="20"/>
          <w14:ligatures w14:val="standardContextual"/>
        </w:rPr>
        <w:t>, translated with an introduction by R. S. Pine-Coffin. Harmondsworth: Penguin Books Ltd., 1961. (Cited by Book and section)</w:t>
      </w:r>
    </w:p>
    <w:p w14:paraId="7DED99EF" w14:textId="77777777" w:rsidR="00385665" w:rsidRPr="00385665" w:rsidRDefault="00385665" w:rsidP="00385665">
      <w:pPr>
        <w:spacing w:after="0" w:line="240" w:lineRule="auto"/>
        <w:ind w:left="720" w:hanging="720"/>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Frend 1952. </w:t>
      </w:r>
      <w:r w:rsidRPr="00385665">
        <w:rPr>
          <w:rFonts w:ascii="Perpetua" w:eastAsia="Calibri" w:hAnsi="Perpetua" w:cs="Times New Roman"/>
          <w:i/>
          <w:iCs/>
          <w:kern w:val="2"/>
          <w:sz w:val="20"/>
          <w:szCs w:val="20"/>
          <w14:ligatures w14:val="standardContextual"/>
        </w:rPr>
        <w:t>The Donatist Church: A Movement of Protest in Roman North Africa</w:t>
      </w:r>
      <w:r w:rsidRPr="00385665">
        <w:rPr>
          <w:rFonts w:ascii="Perpetua" w:eastAsia="Calibri" w:hAnsi="Perpetua" w:cs="Times New Roman"/>
          <w:kern w:val="2"/>
          <w:sz w:val="20"/>
          <w:szCs w:val="20"/>
          <w14:ligatures w14:val="standardContextual"/>
        </w:rPr>
        <w:t>, by William Hugh Clifford Frend. Oxford: At the Clarendon Press.</w:t>
      </w:r>
    </w:p>
    <w:p w14:paraId="1F377131" w14:textId="77777777" w:rsidR="00385665" w:rsidRPr="00385665" w:rsidRDefault="00385665" w:rsidP="00385665">
      <w:pPr>
        <w:spacing w:after="0" w:line="240" w:lineRule="auto"/>
        <w:ind w:left="720" w:hanging="720"/>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Frend 1988. “The Family of Augustine: A Microcosm of Religious Change in North Africa,” by William Hugh Clifford Frend, in </w:t>
      </w:r>
      <w:r w:rsidRPr="00385665">
        <w:rPr>
          <w:rFonts w:ascii="Perpetua" w:eastAsia="Calibri" w:hAnsi="Perpetua" w:cs="Times New Roman"/>
          <w:i/>
          <w:iCs/>
          <w:kern w:val="2"/>
          <w:sz w:val="20"/>
          <w:szCs w:val="20"/>
          <w14:ligatures w14:val="standardContextual"/>
        </w:rPr>
        <w:t>Atti del Congresso internazionale su S. Agostino nel XVI centenario della conversione</w:t>
      </w:r>
      <w:r w:rsidRPr="00385665">
        <w:rPr>
          <w:rFonts w:ascii="Perpetua" w:eastAsia="Calibri" w:hAnsi="Perpetua" w:cs="Times New Roman"/>
          <w:kern w:val="2"/>
          <w:sz w:val="20"/>
          <w:szCs w:val="20"/>
          <w14:ligatures w14:val="standardContextual"/>
        </w:rPr>
        <w:t> (Roma, 15-20 settembre 1986), I (</w:t>
      </w:r>
      <w:r w:rsidRPr="00385665">
        <w:rPr>
          <w:rFonts w:ascii="Perpetua" w:eastAsia="Calibri" w:hAnsi="Perpetua" w:cs="Times New Roman"/>
          <w:i/>
          <w:iCs/>
          <w:kern w:val="2"/>
          <w:sz w:val="20"/>
          <w:szCs w:val="20"/>
          <w14:ligatures w14:val="standardContextual"/>
        </w:rPr>
        <w:t>Studia Ephemeridis “Augustinianum,”</w:t>
      </w:r>
      <w:r w:rsidRPr="00385665">
        <w:rPr>
          <w:rFonts w:ascii="Perpetua" w:eastAsia="Calibri" w:hAnsi="Perpetua" w:cs="Times New Roman"/>
          <w:kern w:val="2"/>
          <w:sz w:val="20"/>
          <w:szCs w:val="20"/>
          <w14:ligatures w14:val="standardContextual"/>
        </w:rPr>
        <w:t> 24). Rome, 1987: 135-151; reprinted in </w:t>
      </w:r>
      <w:r w:rsidRPr="00385665">
        <w:rPr>
          <w:rFonts w:ascii="Perpetua" w:eastAsia="Calibri" w:hAnsi="Perpetua" w:cs="Times New Roman"/>
          <w:i/>
          <w:iCs/>
          <w:kern w:val="2"/>
          <w:sz w:val="20"/>
          <w:szCs w:val="20"/>
          <w14:ligatures w14:val="standardContextual"/>
        </w:rPr>
        <w:t>Archaeology and History in the Study of Early Christianity</w:t>
      </w:r>
      <w:r w:rsidRPr="00385665">
        <w:rPr>
          <w:rFonts w:ascii="Perpetua" w:eastAsia="Calibri" w:hAnsi="Perpetua" w:cs="Times New Roman"/>
          <w:kern w:val="2"/>
          <w:sz w:val="20"/>
          <w:szCs w:val="20"/>
          <w14:ligatures w14:val="standardContextual"/>
        </w:rPr>
        <w:t>, by William Hugh Clifford Frend. London: Variorum Reprints, #VIII.</w:t>
      </w:r>
    </w:p>
    <w:p w14:paraId="2CFE38F2" w14:textId="77777777" w:rsidR="00385665" w:rsidRPr="00385665" w:rsidRDefault="00385665" w:rsidP="00385665">
      <w:pPr>
        <w:spacing w:after="0" w:line="240" w:lineRule="auto"/>
        <w:ind w:left="720" w:hanging="720"/>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Rousselle 1994. “Body Politics in Ancient Rome,” by Aline Rousselle, in </w:t>
      </w:r>
      <w:r w:rsidRPr="00385665">
        <w:rPr>
          <w:rFonts w:ascii="Perpetua" w:eastAsia="Calibri" w:hAnsi="Perpetua" w:cs="Times New Roman"/>
          <w:i/>
          <w:iCs/>
          <w:kern w:val="2"/>
          <w:sz w:val="20"/>
          <w:szCs w:val="20"/>
          <w14:ligatures w14:val="standardContextual"/>
        </w:rPr>
        <w:t>A History of Women in the West, volume I: From Ancient Goddesses to Christian Saints</w:t>
      </w:r>
      <w:r w:rsidRPr="00385665">
        <w:rPr>
          <w:rFonts w:ascii="Perpetua" w:eastAsia="Calibri" w:hAnsi="Perpetua" w:cs="Times New Roman"/>
          <w:kern w:val="2"/>
          <w:sz w:val="20"/>
          <w:szCs w:val="20"/>
          <w14:ligatures w14:val="standardContextual"/>
        </w:rPr>
        <w:t>, edited by Pauline Schmitt Pantel, translated by Arthur Goldhammer. Cambridge, MA: The Belknap Press of Harvard University Press. Pp.296-336.</w:t>
      </w:r>
    </w:p>
    <w:p w14:paraId="2FDB7514" w14:textId="77777777" w:rsidR="00385665" w:rsidRPr="00385665" w:rsidRDefault="00385665" w:rsidP="00385665">
      <w:pPr>
        <w:spacing w:after="0" w:line="240" w:lineRule="auto"/>
        <w:ind w:left="720" w:hanging="720"/>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 xml:space="preserve">van der Meer 1961. </w:t>
      </w:r>
      <w:r w:rsidRPr="00385665">
        <w:rPr>
          <w:rFonts w:ascii="Perpetua" w:eastAsia="Calibri" w:hAnsi="Perpetua" w:cs="Times New Roman"/>
          <w:i/>
          <w:iCs/>
          <w:kern w:val="2"/>
          <w:sz w:val="20"/>
          <w:szCs w:val="20"/>
          <w14:ligatures w14:val="standardContextual"/>
        </w:rPr>
        <w:t>Augustine the Bishop: Church and Society at the Dawn of the Middle Ages,</w:t>
      </w:r>
      <w:r w:rsidRPr="00385665">
        <w:rPr>
          <w:rFonts w:ascii="Perpetua" w:eastAsia="Calibri" w:hAnsi="Perpetua" w:cs="Times New Roman"/>
          <w:kern w:val="2"/>
          <w:sz w:val="20"/>
          <w:szCs w:val="20"/>
          <w14:ligatures w14:val="standardContextual"/>
        </w:rPr>
        <w:t> by F. van der Meer, translated by Brian Battershaw and G. R. Lamb. London: Sheed and Ward Ltd.</w:t>
      </w:r>
    </w:p>
    <w:p w14:paraId="11275FF4" w14:textId="77777777" w:rsidR="00385665" w:rsidRPr="00385665" w:rsidRDefault="00385665" w:rsidP="00385665">
      <w:pPr>
        <w:spacing w:after="0" w:line="240" w:lineRule="auto"/>
        <w:ind w:left="720" w:hanging="720"/>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Zaidman 1994. “Pandora’s Daughters and Rituals in Grecian Cities,” by Louise Bruit Zaidman, in </w:t>
      </w:r>
      <w:r w:rsidRPr="00385665">
        <w:rPr>
          <w:rFonts w:ascii="Perpetua" w:eastAsia="Calibri" w:hAnsi="Perpetua" w:cs="Times New Roman"/>
          <w:i/>
          <w:iCs/>
          <w:kern w:val="2"/>
          <w:sz w:val="20"/>
          <w:szCs w:val="20"/>
          <w14:ligatures w14:val="standardContextual"/>
        </w:rPr>
        <w:t>A History of Women in the West, volume I: From Ancient Goddesses to Christian Saints</w:t>
      </w:r>
      <w:r w:rsidRPr="00385665">
        <w:rPr>
          <w:rFonts w:ascii="Perpetua" w:eastAsia="Calibri" w:hAnsi="Perpetua" w:cs="Times New Roman"/>
          <w:kern w:val="2"/>
          <w:sz w:val="20"/>
          <w:szCs w:val="20"/>
          <w14:ligatures w14:val="standardContextual"/>
        </w:rPr>
        <w:t>, edited by Pauline Schmitt Pantel, translated by Arthur Goldhammer. Cambridge, MA: The Belknap Press of Harvard University Press, pp.338-376.</w:t>
      </w:r>
    </w:p>
    <w:p w14:paraId="2E98C565" w14:textId="77777777" w:rsid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22DC4D23"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35D97E8C"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______________________</w:t>
      </w:r>
    </w:p>
    <w:p w14:paraId="73D885F1"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54975A86" w14:textId="4659CC46" w:rsidR="00385665" w:rsidRPr="00385665" w:rsidRDefault="00385665" w:rsidP="00385665">
      <w:pPr>
        <w:spacing w:after="0" w:line="240" w:lineRule="auto"/>
        <w:jc w:val="center"/>
        <w:rPr>
          <w:rFonts w:ascii="Perpetua" w:eastAsia="Calibri" w:hAnsi="Perpetua" w:cs="Times New Roman"/>
          <w:b/>
          <w:bCs/>
          <w:kern w:val="2"/>
          <w:sz w:val="24"/>
          <w:szCs w:val="24"/>
          <w14:ligatures w14:val="standardContextual"/>
        </w:rPr>
      </w:pPr>
      <w:r w:rsidRPr="00385665">
        <w:rPr>
          <w:rFonts w:ascii="Perpetua" w:eastAsia="Calibri" w:hAnsi="Perpetua" w:cs="Times New Roman"/>
          <w:b/>
          <w:bCs/>
          <w:kern w:val="2"/>
          <w:sz w:val="24"/>
          <w:szCs w:val="24"/>
          <w14:ligatures w14:val="standardContextual"/>
        </w:rPr>
        <w:lastRenderedPageBreak/>
        <w:t>5</w:t>
      </w:r>
      <w:r w:rsidRPr="00385665">
        <w:rPr>
          <w:rFonts w:ascii="Perpetua" w:eastAsia="Calibri" w:hAnsi="Perpetua" w:cs="Times New Roman"/>
          <w:b/>
          <w:bCs/>
          <w:kern w:val="2"/>
          <w:sz w:val="24"/>
          <w:szCs w:val="24"/>
          <w:vertAlign w:val="superscript"/>
          <w14:ligatures w14:val="standardContextual"/>
        </w:rPr>
        <w:t>th</w:t>
      </w:r>
      <w:r w:rsidRPr="00385665">
        <w:rPr>
          <w:rFonts w:ascii="Perpetua" w:eastAsia="Calibri" w:hAnsi="Perpetua" w:cs="Times New Roman"/>
          <w:b/>
          <w:bCs/>
          <w:kern w:val="2"/>
          <w:sz w:val="24"/>
          <w:szCs w:val="24"/>
          <w14:ligatures w14:val="standardContextual"/>
        </w:rPr>
        <w:t xml:space="preserve"> and 6</w:t>
      </w:r>
      <w:r w:rsidRPr="00385665">
        <w:rPr>
          <w:rFonts w:ascii="Perpetua" w:eastAsia="Calibri" w:hAnsi="Perpetua" w:cs="Times New Roman"/>
          <w:b/>
          <w:bCs/>
          <w:kern w:val="2"/>
          <w:sz w:val="24"/>
          <w:szCs w:val="24"/>
          <w:vertAlign w:val="superscript"/>
          <w14:ligatures w14:val="standardContextual"/>
        </w:rPr>
        <w:t>th</w:t>
      </w:r>
      <w:r w:rsidRPr="00385665">
        <w:rPr>
          <w:rFonts w:ascii="Perpetua" w:eastAsia="Calibri" w:hAnsi="Perpetua" w:cs="Times New Roman"/>
          <w:b/>
          <w:bCs/>
          <w:kern w:val="2"/>
          <w:sz w:val="24"/>
          <w:szCs w:val="24"/>
          <w14:ligatures w14:val="standardContextual"/>
        </w:rPr>
        <w:t xml:space="preserve"> Centuries</w:t>
      </w:r>
    </w:p>
    <w:p w14:paraId="4D7896C7"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p>
    <w:p w14:paraId="263D30CD"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The Sadqan</w:t>
      </w:r>
    </w:p>
    <w:p w14:paraId="14860084"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Alternate Names: The Righteous Ones</w:t>
      </w:r>
    </w:p>
    <w:p w14:paraId="73CE8BD6" w14:textId="182B59AB" w:rsidR="00385665" w:rsidRPr="00385665" w:rsidRDefault="00E45BA9"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5</w:t>
      </w:r>
      <w:r w:rsidRPr="00385665">
        <w:rPr>
          <w:rFonts w:ascii="Perpetua" w:eastAsia="Calibri" w:hAnsi="Perpetua" w:cs="Times New Roman"/>
          <w:b/>
          <w:bCs/>
          <w:kern w:val="2"/>
          <w:sz w:val="20"/>
          <w:szCs w:val="20"/>
          <w:vertAlign w:val="superscript"/>
          <w14:ligatures w14:val="standardContextual"/>
        </w:rPr>
        <w:t>th</w:t>
      </w:r>
      <w:r w:rsidRPr="00385665">
        <w:rPr>
          <w:rFonts w:ascii="Perpetua" w:eastAsia="Calibri" w:hAnsi="Perpetua" w:cs="Times New Roman"/>
          <w:b/>
          <w:bCs/>
          <w:kern w:val="2"/>
          <w:sz w:val="20"/>
          <w:szCs w:val="20"/>
          <w14:ligatures w14:val="standardContextual"/>
        </w:rPr>
        <w:t xml:space="preserve"> </w:t>
      </w:r>
      <w:r>
        <w:rPr>
          <w:rFonts w:ascii="Perpetua" w:eastAsia="Calibri" w:hAnsi="Perpetua" w:cs="Times New Roman"/>
          <w:b/>
          <w:bCs/>
          <w:kern w:val="2"/>
          <w:sz w:val="20"/>
          <w:szCs w:val="20"/>
          <w14:ligatures w14:val="standardContextual"/>
        </w:rPr>
        <w:t>– 6</w:t>
      </w:r>
      <w:r w:rsidRPr="00DD575B">
        <w:rPr>
          <w:rFonts w:ascii="Perpetua" w:eastAsia="Calibri" w:hAnsi="Perpetua" w:cs="Times New Roman"/>
          <w:b/>
          <w:bCs/>
          <w:kern w:val="2"/>
          <w:sz w:val="20"/>
          <w:szCs w:val="20"/>
          <w:vertAlign w:val="superscript"/>
          <w14:ligatures w14:val="standardContextual"/>
        </w:rPr>
        <w:t>th</w:t>
      </w:r>
      <w:r>
        <w:rPr>
          <w:rFonts w:ascii="Perpetua" w:eastAsia="Calibri" w:hAnsi="Perpetua" w:cs="Times New Roman"/>
          <w:b/>
          <w:bCs/>
          <w:kern w:val="2"/>
          <w:sz w:val="20"/>
          <w:szCs w:val="20"/>
          <w14:ligatures w14:val="standardContextual"/>
        </w:rPr>
        <w:t xml:space="preserve"> </w:t>
      </w:r>
      <w:r w:rsidR="00385665" w:rsidRPr="00385665">
        <w:rPr>
          <w:rFonts w:ascii="Perpetua" w:eastAsia="Calibri" w:hAnsi="Perpetua" w:cs="Times New Roman"/>
          <w:b/>
          <w:bCs/>
          <w:kern w:val="2"/>
          <w:sz w:val="20"/>
          <w:szCs w:val="20"/>
          <w14:ligatures w14:val="standardContextual"/>
        </w:rPr>
        <w:t>centuries</w:t>
      </w:r>
    </w:p>
    <w:p w14:paraId="55D7804F"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Ancient Christian Church</w:t>
      </w:r>
    </w:p>
    <w:p w14:paraId="4762425F"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Ethiopia</w:t>
      </w:r>
    </w:p>
    <w:p w14:paraId="1F991107"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4E2EFD34"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The </w:t>
      </w:r>
      <w:r w:rsidRPr="00385665">
        <w:rPr>
          <w:rFonts w:ascii="Perpetua" w:eastAsia="Calibri" w:hAnsi="Perpetua" w:cs="Times New Roman"/>
          <w:i/>
          <w:iCs/>
          <w:kern w:val="2"/>
          <w:sz w:val="20"/>
          <w:szCs w:val="20"/>
          <w14:ligatures w14:val="standardContextual"/>
        </w:rPr>
        <w:t>Sadqan</w:t>
      </w:r>
      <w:r w:rsidRPr="00385665">
        <w:rPr>
          <w:rFonts w:ascii="Perpetua" w:eastAsia="Calibri" w:hAnsi="Perpetua" w:cs="Times New Roman"/>
          <w:kern w:val="2"/>
          <w:sz w:val="20"/>
          <w:szCs w:val="20"/>
          <w14:ligatures w14:val="standardContextual"/>
        </w:rPr>
        <w:t> (“The Righteous Ones”) (perhaps fl. late 5th - early 6th century A.D.), were an unknown number of unnamed saints who came to Ethiopia from “Rom” about the same time as the Nine Saints, perhaps late in the 5th century A.D. Although their exact number is not known, they are said to have been as numerous “as the army of a king,” and to have come to Ethiopia inspired by religious zeal to preach the Gospel there and also to escape from the licentiousness and worldly vanity rife in their country of origin, somewhere within the Roman Empire. They are believed to have first gone on a pilgrimage to the Holy Land and then to have proceeded to Ethiopia. On their arrival in Aksum it seems that they began their missionary activities at once, splitting into small groups and setting out to proselytize different areas. According to hagiographical tradition, their activities extended from Baqla, in northern Eritrea, to Lasta. They are particularly associated with Bur or Mätära, Bäräknähä, and Berahto in Eritrea, and in Tegré with Bétä Mek’eya near Agamé, with Mänquraweya in Tämbén and with Hawzén.</w:t>
      </w:r>
    </w:p>
    <w:p w14:paraId="7BB48E8D"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The </w:t>
      </w:r>
      <w:r w:rsidRPr="00385665">
        <w:rPr>
          <w:rFonts w:ascii="Perpetua" w:eastAsia="Calibri" w:hAnsi="Perpetua" w:cs="Times New Roman"/>
          <w:i/>
          <w:iCs/>
          <w:kern w:val="2"/>
          <w:sz w:val="20"/>
          <w:szCs w:val="20"/>
          <w14:ligatures w14:val="standardContextual"/>
        </w:rPr>
        <w:t>Sadqan</w:t>
      </w:r>
      <w:r w:rsidRPr="00385665">
        <w:rPr>
          <w:rFonts w:ascii="Perpetua" w:eastAsia="Calibri" w:hAnsi="Perpetua" w:cs="Times New Roman"/>
          <w:kern w:val="2"/>
          <w:sz w:val="20"/>
          <w:szCs w:val="20"/>
          <w14:ligatures w14:val="standardContextual"/>
        </w:rPr>
        <w:t> are believed to have lived in a community and to have led a most austere, ascetic life. Their hagiography indicates the belief that they subsisted only upon grass and whatever they could glean from the fields, abstaining from other foods, even bread. It appears that in their work they aroused strong opposition from the local pagan populace. A well-known tradition records the persecution they suffered at the hands of the inhabitants of Bur, now known by the name of the nearby village of Mätära. Tradition had it that the Emperor Kaléb set out on an expedition from Aksum to avenge the </w:t>
      </w:r>
      <w:r w:rsidRPr="00385665">
        <w:rPr>
          <w:rFonts w:ascii="Perpetua" w:eastAsia="Calibri" w:hAnsi="Perpetua" w:cs="Times New Roman"/>
          <w:i/>
          <w:iCs/>
          <w:kern w:val="2"/>
          <w:sz w:val="20"/>
          <w:szCs w:val="20"/>
          <w14:ligatures w14:val="standardContextual"/>
        </w:rPr>
        <w:t>Sadqan</w:t>
      </w:r>
      <w:r w:rsidRPr="00385665">
        <w:rPr>
          <w:rFonts w:ascii="Perpetua" w:eastAsia="Calibri" w:hAnsi="Perpetua" w:cs="Times New Roman"/>
          <w:kern w:val="2"/>
          <w:sz w:val="20"/>
          <w:szCs w:val="20"/>
          <w14:ligatures w14:val="standardContextual"/>
        </w:rPr>
        <w:t>; with the aid of divine intervention, the earth miraculously opened and enabled Kaléb’s army to pass through a subterranean passage from Aksum to Mätära. There his army put many of the populace to the sword, took others captive and destroyed the city. It is of interest to note that archaeological excavation has confirmed the violent destruction of the ancient settlement. In the history of Christianity in Ethiopia, this is the first recorded instance of bloodshed in a clash with adherents of a pagan cult, traditionally believed to have been the Bäläw-Käläw, of Béja origin.</w:t>
      </w:r>
    </w:p>
    <w:p w14:paraId="58CDAF2F"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From the traditional sources available thus far, it appears that Kaléb’s expedition did not put an end to the sufferings of the </w:t>
      </w:r>
      <w:r w:rsidRPr="00385665">
        <w:rPr>
          <w:rFonts w:ascii="Perpetua" w:eastAsia="Calibri" w:hAnsi="Perpetua" w:cs="Times New Roman"/>
          <w:i/>
          <w:iCs/>
          <w:kern w:val="2"/>
          <w:sz w:val="20"/>
          <w:szCs w:val="20"/>
          <w14:ligatures w14:val="standardContextual"/>
        </w:rPr>
        <w:t>Sadqan</w:t>
      </w:r>
      <w:r w:rsidRPr="00385665">
        <w:rPr>
          <w:rFonts w:ascii="Perpetua" w:eastAsia="Calibri" w:hAnsi="Perpetua" w:cs="Times New Roman"/>
          <w:kern w:val="2"/>
          <w:sz w:val="20"/>
          <w:szCs w:val="20"/>
          <w14:ligatures w14:val="standardContextual"/>
        </w:rPr>
        <w:t>. After the return of the Emperor to Aksum, persecutions were renewed with even greater ferocity at Mätära and also extended to other centres in the area. A terrible massacre is said to have taken place in which most, if not all, of the </w:t>
      </w:r>
      <w:r w:rsidRPr="00385665">
        <w:rPr>
          <w:rFonts w:ascii="Perpetua" w:eastAsia="Calibri" w:hAnsi="Perpetua" w:cs="Times New Roman"/>
          <w:i/>
          <w:iCs/>
          <w:kern w:val="2"/>
          <w:sz w:val="20"/>
          <w:szCs w:val="20"/>
          <w14:ligatures w14:val="standardContextual"/>
        </w:rPr>
        <w:t>Sadqan</w:t>
      </w:r>
      <w:r w:rsidRPr="00385665">
        <w:rPr>
          <w:rFonts w:ascii="Perpetua" w:eastAsia="Calibri" w:hAnsi="Perpetua" w:cs="Times New Roman"/>
          <w:kern w:val="2"/>
          <w:sz w:val="20"/>
          <w:szCs w:val="20"/>
          <w14:ligatures w14:val="standardContextual"/>
        </w:rPr>
        <w:t> suffered martyrdom. Today, at the sites of many of these early settlements, heaps of bones are preserved which are believed to date from this holocaust and which are objects of veneration to the devout.</w:t>
      </w:r>
    </w:p>
    <w:p w14:paraId="65C67091"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08D96A5B"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 xml:space="preserve">Sergew Hable-Selassie </w:t>
      </w:r>
    </w:p>
    <w:p w14:paraId="17D1EC51"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6B63AF4C"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6A48E893"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Bibliography</w:t>
      </w:r>
    </w:p>
    <w:p w14:paraId="0A0F33E3"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04462ED6" w14:textId="77777777" w:rsidR="00385665" w:rsidRPr="00385665" w:rsidRDefault="00385665" w:rsidP="00385665">
      <w:pPr>
        <w:spacing w:after="0" w:line="240" w:lineRule="auto"/>
        <w:ind w:left="720" w:hanging="720"/>
        <w:jc w:val="both"/>
        <w:rPr>
          <w:rFonts w:ascii="Perpetua" w:eastAsia="Calibri" w:hAnsi="Perpetua" w:cs="Times New Roman"/>
          <w:kern w:val="2"/>
          <w:sz w:val="20"/>
          <w:szCs w:val="20"/>
          <w14:ligatures w14:val="standardContextual"/>
        </w:rPr>
      </w:pPr>
      <w:r w:rsidRPr="00385665">
        <w:rPr>
          <w:rFonts w:ascii="Perpetua" w:eastAsia="Calibri" w:hAnsi="Perpetua" w:cs="Times New Roman"/>
          <w:i/>
          <w:iCs/>
          <w:kern w:val="2"/>
          <w:sz w:val="20"/>
          <w:szCs w:val="20"/>
          <w14:ligatures w14:val="standardContextual"/>
        </w:rPr>
        <w:t>Gädlä Sadqan</w:t>
      </w:r>
      <w:r w:rsidRPr="00385665">
        <w:rPr>
          <w:rFonts w:ascii="Perpetua" w:eastAsia="Calibri" w:hAnsi="Perpetua" w:cs="Times New Roman"/>
          <w:kern w:val="2"/>
          <w:sz w:val="20"/>
          <w:szCs w:val="20"/>
          <w14:ligatures w14:val="standardContextual"/>
        </w:rPr>
        <w:t>, unpublished MS of the Institute of Ethiopian Archaeology, Addis Ababa.</w:t>
      </w:r>
    </w:p>
    <w:p w14:paraId="137F7108" w14:textId="77777777" w:rsidR="00385665" w:rsidRPr="00385665" w:rsidRDefault="00385665" w:rsidP="00385665">
      <w:pPr>
        <w:spacing w:after="0" w:line="240" w:lineRule="auto"/>
        <w:ind w:left="720" w:hanging="720"/>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lang w:val="fr-CA"/>
          <w14:ligatures w14:val="standardContextual"/>
        </w:rPr>
        <w:t>F. Anfray, “La première campagne de fouilles à Matarä,” </w:t>
      </w:r>
      <w:r w:rsidRPr="00385665">
        <w:rPr>
          <w:rFonts w:ascii="Perpetua" w:eastAsia="Calibri" w:hAnsi="Perpetua" w:cs="Times New Roman"/>
          <w:i/>
          <w:iCs/>
          <w:kern w:val="2"/>
          <w:sz w:val="20"/>
          <w:szCs w:val="20"/>
          <w:lang w:val="fr-CA"/>
          <w14:ligatures w14:val="standardContextual"/>
        </w:rPr>
        <w:t>Annales d’Ethiopie</w:t>
      </w:r>
      <w:r w:rsidRPr="00385665">
        <w:rPr>
          <w:rFonts w:ascii="Perpetua" w:eastAsia="Calibri" w:hAnsi="Perpetua" w:cs="Times New Roman"/>
          <w:kern w:val="2"/>
          <w:sz w:val="20"/>
          <w:szCs w:val="20"/>
          <w:lang w:val="fr-CA"/>
          <w14:ligatures w14:val="standardContextual"/>
        </w:rPr>
        <w:t xml:space="preserve">, Vol. </w:t>
      </w:r>
      <w:r w:rsidRPr="00385665">
        <w:rPr>
          <w:rFonts w:ascii="Perpetua" w:eastAsia="Calibri" w:hAnsi="Perpetua" w:cs="Times New Roman"/>
          <w:kern w:val="2"/>
          <w:sz w:val="20"/>
          <w:szCs w:val="20"/>
          <w14:ligatures w14:val="standardContextual"/>
        </w:rPr>
        <w:t>V (1963): 87-166.</w:t>
      </w:r>
    </w:p>
    <w:p w14:paraId="1B1FF69B" w14:textId="77777777" w:rsidR="00385665" w:rsidRPr="00385665" w:rsidRDefault="00385665" w:rsidP="00385665">
      <w:pPr>
        <w:spacing w:after="0" w:line="240" w:lineRule="auto"/>
        <w:ind w:left="720" w:hanging="720"/>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R. Schneider, “Une page du </w:t>
      </w:r>
      <w:r w:rsidRPr="00385665">
        <w:rPr>
          <w:rFonts w:ascii="Perpetua" w:eastAsia="Calibri" w:hAnsi="Perpetua" w:cs="Times New Roman"/>
          <w:i/>
          <w:iCs/>
          <w:kern w:val="2"/>
          <w:sz w:val="20"/>
          <w:szCs w:val="20"/>
          <w14:ligatures w14:val="standardContextual"/>
        </w:rPr>
        <w:t>Gädlä Sadqan</w:t>
      </w:r>
      <w:r w:rsidRPr="00385665">
        <w:rPr>
          <w:rFonts w:ascii="Perpetua" w:eastAsia="Calibri" w:hAnsi="Perpetua" w:cs="Times New Roman"/>
          <w:kern w:val="2"/>
          <w:sz w:val="20"/>
          <w:szCs w:val="20"/>
          <w14:ligatures w14:val="standardContextual"/>
        </w:rPr>
        <w:t>,” ibid.: 167-169.</w:t>
      </w:r>
    </w:p>
    <w:p w14:paraId="344462B7"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3E8BC81E"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1389053C"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This article is reproduced, with permission, from </w:t>
      </w:r>
      <w:r w:rsidRPr="00385665">
        <w:rPr>
          <w:rFonts w:ascii="Perpetua" w:eastAsia="Calibri" w:hAnsi="Perpetua" w:cs="Times New Roman"/>
          <w:i/>
          <w:iCs/>
          <w:kern w:val="2"/>
          <w:sz w:val="20"/>
          <w:szCs w:val="20"/>
          <w14:ligatures w14:val="standardContextual"/>
        </w:rPr>
        <w:t>The Dictionary of Ethiopian Biography, Vol. 1 ‘From Early Times to the End of the Zagwé Dynasty c. 1270 A.D.,’</w:t>
      </w:r>
      <w:r w:rsidRPr="00385665">
        <w:rPr>
          <w:rFonts w:ascii="Perpetua" w:eastAsia="Calibri" w:hAnsi="Perpetua" w:cs="Times New Roman"/>
          <w:kern w:val="2"/>
          <w:sz w:val="20"/>
          <w:szCs w:val="20"/>
          <w14:ligatures w14:val="standardContextual"/>
        </w:rPr>
        <w:t> copyright © 1975, edited by Belaynesh Michael, S. Chojnacki and Richard Pankhurst, Institute of Ethiopian Studies, Addis Ababa, Ethiopia. All rights reserved.</w:t>
      </w:r>
    </w:p>
    <w:p w14:paraId="0A9A9C93" w14:textId="77777777" w:rsid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307486D9" w14:textId="77777777" w:rsid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32FFDAD5" w14:textId="6DBD3C09"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Pr>
          <w:rFonts w:ascii="Perpetua" w:eastAsia="Calibri" w:hAnsi="Perpetua" w:cs="Times New Roman"/>
          <w:kern w:val="2"/>
          <w:sz w:val="20"/>
          <w:szCs w:val="20"/>
          <w14:ligatures w14:val="standardContextual"/>
        </w:rPr>
        <w:t>________________________</w:t>
      </w:r>
    </w:p>
    <w:p w14:paraId="68757BB5"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7E17B374"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Aragawi, Za-Mika’el (B)</w:t>
      </w:r>
    </w:p>
    <w:p w14:paraId="6E4C6E23"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Alternate Names: Arägawi, Zä-Mika’él</w:t>
      </w:r>
    </w:p>
    <w:p w14:paraId="052A1E71" w14:textId="45166C95" w:rsidR="00385665" w:rsidRPr="00385665" w:rsidRDefault="00E45BA9"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5</w:t>
      </w:r>
      <w:r w:rsidRPr="00385665">
        <w:rPr>
          <w:rFonts w:ascii="Perpetua" w:eastAsia="Calibri" w:hAnsi="Perpetua" w:cs="Times New Roman"/>
          <w:b/>
          <w:bCs/>
          <w:kern w:val="2"/>
          <w:sz w:val="20"/>
          <w:szCs w:val="20"/>
          <w:vertAlign w:val="superscript"/>
          <w14:ligatures w14:val="standardContextual"/>
        </w:rPr>
        <w:t>th</w:t>
      </w:r>
      <w:r w:rsidRPr="00385665">
        <w:rPr>
          <w:rFonts w:ascii="Perpetua" w:eastAsia="Calibri" w:hAnsi="Perpetua" w:cs="Times New Roman"/>
          <w:b/>
          <w:bCs/>
          <w:kern w:val="2"/>
          <w:sz w:val="20"/>
          <w:szCs w:val="20"/>
          <w14:ligatures w14:val="standardContextual"/>
        </w:rPr>
        <w:t xml:space="preserve"> </w:t>
      </w:r>
      <w:r>
        <w:rPr>
          <w:rFonts w:ascii="Perpetua" w:eastAsia="Calibri" w:hAnsi="Perpetua" w:cs="Times New Roman"/>
          <w:b/>
          <w:bCs/>
          <w:kern w:val="2"/>
          <w:sz w:val="20"/>
          <w:szCs w:val="20"/>
          <w14:ligatures w14:val="standardContextual"/>
        </w:rPr>
        <w:t>– 6</w:t>
      </w:r>
      <w:r w:rsidRPr="00DD575B">
        <w:rPr>
          <w:rFonts w:ascii="Perpetua" w:eastAsia="Calibri" w:hAnsi="Perpetua" w:cs="Times New Roman"/>
          <w:b/>
          <w:bCs/>
          <w:kern w:val="2"/>
          <w:sz w:val="20"/>
          <w:szCs w:val="20"/>
          <w:vertAlign w:val="superscript"/>
          <w14:ligatures w14:val="standardContextual"/>
        </w:rPr>
        <w:t>th</w:t>
      </w:r>
      <w:r>
        <w:rPr>
          <w:rFonts w:ascii="Perpetua" w:eastAsia="Calibri" w:hAnsi="Perpetua" w:cs="Times New Roman"/>
          <w:b/>
          <w:bCs/>
          <w:kern w:val="2"/>
          <w:sz w:val="20"/>
          <w:szCs w:val="20"/>
          <w14:ligatures w14:val="standardContextual"/>
        </w:rPr>
        <w:t xml:space="preserve"> </w:t>
      </w:r>
      <w:r w:rsidR="00385665" w:rsidRPr="00385665">
        <w:rPr>
          <w:rFonts w:ascii="Perpetua" w:eastAsia="Calibri" w:hAnsi="Perpetua" w:cs="Times New Roman"/>
          <w:b/>
          <w:bCs/>
          <w:kern w:val="2"/>
          <w:sz w:val="20"/>
          <w:szCs w:val="20"/>
          <w14:ligatures w14:val="standardContextual"/>
        </w:rPr>
        <w:t>centuries</w:t>
      </w:r>
    </w:p>
    <w:p w14:paraId="3BDE93EB"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Ancient Christian Church</w:t>
      </w:r>
    </w:p>
    <w:p w14:paraId="64DD610E"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Ethiopia</w:t>
      </w:r>
    </w:p>
    <w:p w14:paraId="1BE14941"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2CC3FD0F"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Zä-Mika’él ‘Arägawi, or ‘Arägawi Zä-Mika’él, </w:t>
      </w:r>
      <w:r w:rsidRPr="00385665">
        <w:rPr>
          <w:rFonts w:ascii="Perpetua" w:eastAsia="Calibri" w:hAnsi="Perpetua" w:cs="Times New Roman"/>
          <w:i/>
          <w:iCs/>
          <w:kern w:val="2"/>
          <w:sz w:val="20"/>
          <w:szCs w:val="20"/>
          <w14:ligatures w14:val="standardContextual"/>
        </w:rPr>
        <w:t>Abba</w:t>
      </w:r>
      <w:r w:rsidRPr="00385665">
        <w:rPr>
          <w:rFonts w:ascii="Perpetua" w:eastAsia="Calibri" w:hAnsi="Perpetua" w:cs="Times New Roman"/>
          <w:kern w:val="2"/>
          <w:sz w:val="20"/>
          <w:szCs w:val="20"/>
          <w14:ligatures w14:val="standardContextual"/>
        </w:rPr>
        <w:t>, was one of the Nine Saints of the Ethiopian Orthodox Church who came from various parts of the Roman Empire to escape persecution after the Council of Chalcedon (451). The Nine Saints, </w:t>
      </w:r>
      <w:r w:rsidRPr="00385665">
        <w:rPr>
          <w:rFonts w:ascii="Perpetua" w:eastAsia="Calibri" w:hAnsi="Perpetua" w:cs="Times New Roman"/>
          <w:i/>
          <w:iCs/>
          <w:kern w:val="2"/>
          <w:sz w:val="20"/>
          <w:szCs w:val="20"/>
          <w14:ligatures w14:val="standardContextual"/>
        </w:rPr>
        <w:t>Abba</w:t>
      </w:r>
      <w:r w:rsidRPr="00385665">
        <w:rPr>
          <w:rFonts w:ascii="Perpetua" w:eastAsia="Calibri" w:hAnsi="Perpetua" w:cs="Times New Roman"/>
          <w:kern w:val="2"/>
          <w:sz w:val="20"/>
          <w:szCs w:val="20"/>
          <w14:ligatures w14:val="standardContextual"/>
        </w:rPr>
        <w:t> ‘Afsé, </w:t>
      </w:r>
      <w:r w:rsidRPr="00385665">
        <w:rPr>
          <w:rFonts w:ascii="Perpetua" w:eastAsia="Calibri" w:hAnsi="Perpetua" w:cs="Times New Roman"/>
          <w:i/>
          <w:iCs/>
          <w:kern w:val="2"/>
          <w:sz w:val="20"/>
          <w:szCs w:val="20"/>
          <w14:ligatures w14:val="standardContextual"/>
        </w:rPr>
        <w:t>Abba</w:t>
      </w:r>
      <w:r w:rsidRPr="00385665">
        <w:rPr>
          <w:rFonts w:ascii="Perpetua" w:eastAsia="Calibri" w:hAnsi="Perpetua" w:cs="Times New Roman"/>
          <w:kern w:val="2"/>
          <w:sz w:val="20"/>
          <w:szCs w:val="20"/>
          <w14:ligatures w14:val="standardContextual"/>
        </w:rPr>
        <w:t> ‘Aléf, </w:t>
      </w:r>
      <w:r w:rsidRPr="00385665">
        <w:rPr>
          <w:rFonts w:ascii="Perpetua" w:eastAsia="Calibri" w:hAnsi="Perpetua" w:cs="Times New Roman"/>
          <w:i/>
          <w:iCs/>
          <w:kern w:val="2"/>
          <w:sz w:val="20"/>
          <w:szCs w:val="20"/>
          <w14:ligatures w14:val="standardContextual"/>
        </w:rPr>
        <w:t>Abba</w:t>
      </w:r>
      <w:r w:rsidRPr="00385665">
        <w:rPr>
          <w:rFonts w:ascii="Perpetua" w:eastAsia="Calibri" w:hAnsi="Perpetua" w:cs="Times New Roman"/>
          <w:kern w:val="2"/>
          <w:sz w:val="20"/>
          <w:szCs w:val="20"/>
          <w14:ligatures w14:val="standardContextual"/>
        </w:rPr>
        <w:t> Gärima, </w:t>
      </w:r>
      <w:r w:rsidRPr="00385665">
        <w:rPr>
          <w:rFonts w:ascii="Perpetua" w:eastAsia="Calibri" w:hAnsi="Perpetua" w:cs="Times New Roman"/>
          <w:i/>
          <w:iCs/>
          <w:kern w:val="2"/>
          <w:sz w:val="20"/>
          <w:szCs w:val="20"/>
          <w14:ligatures w14:val="standardContextual"/>
        </w:rPr>
        <w:t>Abba</w:t>
      </w:r>
      <w:r w:rsidRPr="00385665">
        <w:rPr>
          <w:rFonts w:ascii="Perpetua" w:eastAsia="Calibri" w:hAnsi="Perpetua" w:cs="Times New Roman"/>
          <w:kern w:val="2"/>
          <w:sz w:val="20"/>
          <w:szCs w:val="20"/>
          <w14:ligatures w14:val="standardContextual"/>
        </w:rPr>
        <w:t> Guba, </w:t>
      </w:r>
      <w:r w:rsidRPr="00385665">
        <w:rPr>
          <w:rFonts w:ascii="Perpetua" w:eastAsia="Calibri" w:hAnsi="Perpetua" w:cs="Times New Roman"/>
          <w:i/>
          <w:iCs/>
          <w:kern w:val="2"/>
          <w:sz w:val="20"/>
          <w:szCs w:val="20"/>
          <w14:ligatures w14:val="standardContextual"/>
        </w:rPr>
        <w:t>Abba</w:t>
      </w:r>
      <w:r w:rsidRPr="00385665">
        <w:rPr>
          <w:rFonts w:ascii="Perpetua" w:eastAsia="Calibri" w:hAnsi="Perpetua" w:cs="Times New Roman"/>
          <w:kern w:val="2"/>
          <w:sz w:val="20"/>
          <w:szCs w:val="20"/>
          <w14:ligatures w14:val="standardContextual"/>
        </w:rPr>
        <w:t> Liqanos, </w:t>
      </w:r>
      <w:r w:rsidRPr="00385665">
        <w:rPr>
          <w:rFonts w:ascii="Perpetua" w:eastAsia="Calibri" w:hAnsi="Perpetua" w:cs="Times New Roman"/>
          <w:i/>
          <w:iCs/>
          <w:kern w:val="2"/>
          <w:sz w:val="20"/>
          <w:szCs w:val="20"/>
          <w14:ligatures w14:val="standardContextual"/>
        </w:rPr>
        <w:t>Abba</w:t>
      </w:r>
      <w:r w:rsidRPr="00385665">
        <w:rPr>
          <w:rFonts w:ascii="Perpetua" w:eastAsia="Calibri" w:hAnsi="Perpetua" w:cs="Times New Roman"/>
          <w:kern w:val="2"/>
          <w:sz w:val="20"/>
          <w:szCs w:val="20"/>
          <w14:ligatures w14:val="standardContextual"/>
        </w:rPr>
        <w:t> Päntäléwon, </w:t>
      </w:r>
      <w:r w:rsidRPr="00385665">
        <w:rPr>
          <w:rFonts w:ascii="Perpetua" w:eastAsia="Calibri" w:hAnsi="Perpetua" w:cs="Times New Roman"/>
          <w:i/>
          <w:iCs/>
          <w:kern w:val="2"/>
          <w:sz w:val="20"/>
          <w:szCs w:val="20"/>
          <w14:ligatures w14:val="standardContextual"/>
        </w:rPr>
        <w:t>Abba</w:t>
      </w:r>
      <w:r w:rsidRPr="00385665">
        <w:rPr>
          <w:rFonts w:ascii="Perpetua" w:eastAsia="Calibri" w:hAnsi="Perpetua" w:cs="Times New Roman"/>
          <w:kern w:val="2"/>
          <w:sz w:val="20"/>
          <w:szCs w:val="20"/>
          <w14:ligatures w14:val="standardContextual"/>
        </w:rPr>
        <w:t> Sähma, </w:t>
      </w:r>
      <w:r w:rsidRPr="00385665">
        <w:rPr>
          <w:rFonts w:ascii="Perpetua" w:eastAsia="Calibri" w:hAnsi="Perpetua" w:cs="Times New Roman"/>
          <w:i/>
          <w:iCs/>
          <w:kern w:val="2"/>
          <w:sz w:val="20"/>
          <w:szCs w:val="20"/>
          <w14:ligatures w14:val="standardContextual"/>
        </w:rPr>
        <w:t>Abba</w:t>
      </w:r>
      <w:r w:rsidRPr="00385665">
        <w:rPr>
          <w:rFonts w:ascii="Perpetua" w:eastAsia="Calibri" w:hAnsi="Perpetua" w:cs="Times New Roman"/>
          <w:kern w:val="2"/>
          <w:sz w:val="20"/>
          <w:szCs w:val="20"/>
          <w14:ligatures w14:val="standardContextual"/>
        </w:rPr>
        <w:t> Yäm’ata and </w:t>
      </w:r>
      <w:r w:rsidRPr="00385665">
        <w:rPr>
          <w:rFonts w:ascii="Perpetua" w:eastAsia="Calibri" w:hAnsi="Perpetua" w:cs="Times New Roman"/>
          <w:i/>
          <w:iCs/>
          <w:kern w:val="2"/>
          <w:sz w:val="20"/>
          <w:szCs w:val="20"/>
          <w14:ligatures w14:val="standardContextual"/>
        </w:rPr>
        <w:t>Abba</w:t>
      </w:r>
      <w:r w:rsidRPr="00385665">
        <w:rPr>
          <w:rFonts w:ascii="Perpetua" w:eastAsia="Calibri" w:hAnsi="Perpetua" w:cs="Times New Roman"/>
          <w:kern w:val="2"/>
          <w:sz w:val="20"/>
          <w:szCs w:val="20"/>
          <w14:ligatures w14:val="standardContextual"/>
        </w:rPr>
        <w:t> Zä-Mika’él ‘Arägawi were learned monks who revitalized Christianity in Ethiopia and to whom the Ge’ez version of the New Testament is attributed. The account of the life of Zä-Mika’él ‘Arägawi, contained in a </w:t>
      </w:r>
      <w:r w:rsidRPr="00385665">
        <w:rPr>
          <w:rFonts w:ascii="Perpetua" w:eastAsia="Calibri" w:hAnsi="Perpetua" w:cs="Times New Roman"/>
          <w:i/>
          <w:iCs/>
          <w:kern w:val="2"/>
          <w:sz w:val="20"/>
          <w:szCs w:val="20"/>
          <w14:ligatures w14:val="standardContextual"/>
        </w:rPr>
        <w:t>gädl,</w:t>
      </w:r>
      <w:r w:rsidRPr="00385665">
        <w:rPr>
          <w:rFonts w:ascii="Perpetua" w:eastAsia="Calibri" w:hAnsi="Perpetua" w:cs="Times New Roman"/>
          <w:kern w:val="2"/>
          <w:sz w:val="20"/>
          <w:szCs w:val="20"/>
          <w14:ligatures w14:val="standardContextual"/>
        </w:rPr>
        <w:t> or </w:t>
      </w:r>
      <w:r w:rsidRPr="00385665">
        <w:rPr>
          <w:rFonts w:ascii="Perpetua" w:eastAsia="Calibri" w:hAnsi="Perpetua" w:cs="Times New Roman"/>
          <w:i/>
          <w:iCs/>
          <w:kern w:val="2"/>
          <w:sz w:val="20"/>
          <w:szCs w:val="20"/>
          <w14:ligatures w14:val="standardContextual"/>
        </w:rPr>
        <w:t>Acts</w:t>
      </w:r>
      <w:r w:rsidRPr="00385665">
        <w:rPr>
          <w:rFonts w:ascii="Perpetua" w:eastAsia="Calibri" w:hAnsi="Perpetua" w:cs="Times New Roman"/>
          <w:kern w:val="2"/>
          <w:sz w:val="20"/>
          <w:szCs w:val="20"/>
          <w14:ligatures w14:val="standardContextual"/>
        </w:rPr>
        <w:t xml:space="preserve">, of the late fifteenth century, emphasizes the miraculous, is somewhat contradictory, and reflects the prejudices of Däbrä Damo. The son of Yeshaq and ‘Edna of the royal family in Rome, he became a monk at the age of fourteen with Pachomius (d. 348) in the Thebaîd, and it was the latter who called him Zä-Mika’él. His fame attracted the other eight, who remained many years with him and Pachomius. ‘Edna too joined him as a nun. Seven years after Pachomius’ death, Zä-Mika’él returned to Rome and then proceeded to Aksum, which he found already evangelized, whereupon he invited the others to join him there. Along with Yeshaq and ‘Edna, they were welcomed by Emperor ‘Al’améda (Emperor ‘Ellä-‘Améda II) in the fifth year of his reign, and then by his successor, Emperor Tazén. </w:t>
      </w:r>
    </w:p>
    <w:p w14:paraId="75CFF5FF" w14:textId="77777777" w:rsidR="00385665" w:rsidRPr="00385665" w:rsidRDefault="00385665" w:rsidP="00385665">
      <w:pPr>
        <w:spacing w:after="0" w:line="240" w:lineRule="auto"/>
        <w:ind w:firstLine="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lastRenderedPageBreak/>
        <w:t>The Nine Saints lived at the court for twelve years, but in the sixth year of Tazén’s reign they separated, each to go to his own way. Zä-Mika’él and ‘Edna, with a disciple called Mattéwos, went to Eggala, Tegré, where the hill Damo was chosen for a monastery and he established the Pachomian or coenobitic monastic life. In Ethiopian iconography Zä-Mika’él ‘Arägawi is often portrayed with a serpent, for, when unable to find a path up the rocky site, he held fast to the tail of a serpent and was pulled up to the summit. His </w:t>
      </w:r>
      <w:r w:rsidRPr="00385665">
        <w:rPr>
          <w:rFonts w:ascii="Perpetua" w:eastAsia="Calibri" w:hAnsi="Perpetua" w:cs="Times New Roman"/>
          <w:i/>
          <w:iCs/>
          <w:kern w:val="2"/>
          <w:sz w:val="20"/>
          <w:szCs w:val="20"/>
          <w14:ligatures w14:val="standardContextual"/>
        </w:rPr>
        <w:t>gädl</w:t>
      </w:r>
      <w:r w:rsidRPr="00385665">
        <w:rPr>
          <w:rFonts w:ascii="Perpetua" w:eastAsia="Calibri" w:hAnsi="Perpetua" w:cs="Times New Roman"/>
          <w:kern w:val="2"/>
          <w:sz w:val="20"/>
          <w:szCs w:val="20"/>
          <w14:ligatures w14:val="standardContextual"/>
        </w:rPr>
        <w:t> claims that Emperor Kaléb consulted him before setting out to attack Dhu Nuwas. The monastery of Däbrä Damo was erected by Emperor Gäbrä-Mäsqäl in the eleventh year of his reign on a spot indicated by Zä-Mika’él, and a large community of monks gathered around him, ‘Edna, and a disciple, Pétros. His death took place on 14 </w:t>
      </w:r>
      <w:r w:rsidRPr="00385665">
        <w:rPr>
          <w:rFonts w:ascii="Perpetua" w:eastAsia="Calibri" w:hAnsi="Perpetua" w:cs="Times New Roman"/>
          <w:i/>
          <w:iCs/>
          <w:kern w:val="2"/>
          <w:sz w:val="20"/>
          <w:szCs w:val="20"/>
          <w14:ligatures w14:val="standardContextual"/>
        </w:rPr>
        <w:t>Teqemt</w:t>
      </w:r>
      <w:r w:rsidRPr="00385665">
        <w:rPr>
          <w:rFonts w:ascii="Perpetua" w:eastAsia="Calibri" w:hAnsi="Perpetua" w:cs="Times New Roman"/>
          <w:kern w:val="2"/>
          <w:sz w:val="20"/>
          <w:szCs w:val="20"/>
          <w14:ligatures w14:val="standardContextual"/>
        </w:rPr>
        <w:t> (24 October), after he had appointed Mattéwos as his successor.</w:t>
      </w:r>
    </w:p>
    <w:p w14:paraId="461D37C4"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69F1250E"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A. K. Irvine, Otto F. A. Meinardus and Seifu Metaferia</w:t>
      </w:r>
    </w:p>
    <w:p w14:paraId="63277588"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7BD4CE60"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2DFE2F43"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Bibliography</w:t>
      </w:r>
    </w:p>
    <w:p w14:paraId="0B67F6E2"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2E76F1E7" w14:textId="77777777" w:rsidR="00385665" w:rsidRPr="00385665" w:rsidRDefault="00385665" w:rsidP="00385665">
      <w:pPr>
        <w:spacing w:after="0" w:line="240" w:lineRule="auto"/>
        <w:ind w:left="432" w:hanging="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E. A. Wallis Budge, </w:t>
      </w:r>
      <w:r w:rsidRPr="00385665">
        <w:rPr>
          <w:rFonts w:ascii="Perpetua" w:eastAsia="Calibri" w:hAnsi="Perpetua" w:cs="Times New Roman"/>
          <w:i/>
          <w:iCs/>
          <w:kern w:val="2"/>
          <w:sz w:val="20"/>
          <w:szCs w:val="20"/>
          <w14:ligatures w14:val="standardContextual"/>
        </w:rPr>
        <w:t>The Book of the Saints of the Ethiopian Church</w:t>
      </w:r>
      <w:r w:rsidRPr="00385665">
        <w:rPr>
          <w:rFonts w:ascii="Perpetua" w:eastAsia="Calibri" w:hAnsi="Perpetua" w:cs="Times New Roman"/>
          <w:kern w:val="2"/>
          <w:sz w:val="20"/>
          <w:szCs w:val="20"/>
          <w14:ligatures w14:val="standardContextual"/>
        </w:rPr>
        <w:t> (Cambridge, 1928), Vol. I, 155.</w:t>
      </w:r>
    </w:p>
    <w:p w14:paraId="242AEE6E" w14:textId="77777777" w:rsidR="00385665" w:rsidRPr="00385665" w:rsidRDefault="00385665" w:rsidP="00385665">
      <w:pPr>
        <w:spacing w:after="0" w:line="240" w:lineRule="auto"/>
        <w:ind w:left="432" w:hanging="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 A History of Ethiopia (London, 1928), Vol. I.</w:t>
      </w:r>
    </w:p>
    <w:p w14:paraId="1E09BEB1" w14:textId="77777777" w:rsidR="00385665" w:rsidRPr="00385665" w:rsidRDefault="00385665" w:rsidP="00385665">
      <w:pPr>
        <w:spacing w:after="0" w:line="240" w:lineRule="auto"/>
        <w:ind w:left="432" w:hanging="432"/>
        <w:jc w:val="both"/>
        <w:rPr>
          <w:rFonts w:ascii="Perpetua" w:eastAsia="Calibri" w:hAnsi="Perpetua" w:cs="Times New Roman"/>
          <w:kern w:val="2"/>
          <w:sz w:val="20"/>
          <w:szCs w:val="20"/>
          <w:lang w:val="fr-CA"/>
          <w14:ligatures w14:val="standardContextual"/>
        </w:rPr>
      </w:pPr>
      <w:r w:rsidRPr="00385665">
        <w:rPr>
          <w:rFonts w:ascii="Perpetua" w:eastAsia="Calibri" w:hAnsi="Perpetua" w:cs="Times New Roman"/>
          <w:kern w:val="2"/>
          <w:sz w:val="20"/>
          <w:szCs w:val="20"/>
          <w14:ligatures w14:val="standardContextual"/>
        </w:rPr>
        <w:t>I. Guidi, “La chiesa abissina”, </w:t>
      </w:r>
      <w:r w:rsidRPr="00385665">
        <w:rPr>
          <w:rFonts w:ascii="Perpetua" w:eastAsia="Calibri" w:hAnsi="Perpetua" w:cs="Times New Roman"/>
          <w:i/>
          <w:iCs/>
          <w:kern w:val="2"/>
          <w:sz w:val="20"/>
          <w:szCs w:val="20"/>
          <w14:ligatures w14:val="standardContextual"/>
        </w:rPr>
        <w:t>Oriente Moderno</w:t>
      </w:r>
      <w:r w:rsidRPr="00385665">
        <w:rPr>
          <w:rFonts w:ascii="Perpetua" w:eastAsia="Calibri" w:hAnsi="Perpetua" w:cs="Times New Roman"/>
          <w:kern w:val="2"/>
          <w:sz w:val="20"/>
          <w:szCs w:val="20"/>
          <w14:ligatures w14:val="standardContextual"/>
        </w:rPr>
        <w:t xml:space="preserve">, Vol. </w:t>
      </w:r>
      <w:r w:rsidRPr="00385665">
        <w:rPr>
          <w:rFonts w:ascii="Perpetua" w:eastAsia="Calibri" w:hAnsi="Perpetua" w:cs="Times New Roman"/>
          <w:kern w:val="2"/>
          <w:sz w:val="20"/>
          <w:szCs w:val="20"/>
          <w:lang w:val="fr-CA"/>
          <w14:ligatures w14:val="standardContextual"/>
        </w:rPr>
        <w:t>II (Roma, 1896).</w:t>
      </w:r>
    </w:p>
    <w:p w14:paraId="76E53FC6" w14:textId="77777777" w:rsidR="00385665" w:rsidRPr="00385665" w:rsidRDefault="00385665" w:rsidP="00385665">
      <w:pPr>
        <w:spacing w:after="0" w:line="240" w:lineRule="auto"/>
        <w:ind w:left="432" w:hanging="432"/>
        <w:jc w:val="both"/>
        <w:rPr>
          <w:rFonts w:ascii="Perpetua" w:eastAsia="Calibri" w:hAnsi="Perpetua" w:cs="Times New Roman"/>
          <w:kern w:val="2"/>
          <w:sz w:val="20"/>
          <w:szCs w:val="20"/>
          <w:lang w:val="fr-CA"/>
          <w14:ligatures w14:val="standardContextual"/>
        </w:rPr>
      </w:pPr>
      <w:r w:rsidRPr="00385665">
        <w:rPr>
          <w:rFonts w:ascii="Perpetua" w:eastAsia="Calibri" w:hAnsi="Perpetua" w:cs="Times New Roman"/>
          <w:kern w:val="2"/>
          <w:sz w:val="20"/>
          <w:szCs w:val="20"/>
          <w:lang w:val="fr-CA"/>
          <w14:ligatures w14:val="standardContextual"/>
        </w:rPr>
        <w:t>F. M. Esteves Pereira, </w:t>
      </w:r>
      <w:r w:rsidRPr="00385665">
        <w:rPr>
          <w:rFonts w:ascii="Perpetua" w:eastAsia="Calibri" w:hAnsi="Perpetua" w:cs="Times New Roman"/>
          <w:i/>
          <w:iCs/>
          <w:kern w:val="2"/>
          <w:sz w:val="20"/>
          <w:szCs w:val="20"/>
          <w:lang w:val="fr-CA"/>
          <w14:ligatures w14:val="standardContextual"/>
        </w:rPr>
        <w:t>Historia dos Martyres de Nagran</w:t>
      </w:r>
      <w:r w:rsidRPr="00385665">
        <w:rPr>
          <w:rFonts w:ascii="Perpetua" w:eastAsia="Calibri" w:hAnsi="Perpetua" w:cs="Times New Roman"/>
          <w:kern w:val="2"/>
          <w:sz w:val="20"/>
          <w:szCs w:val="20"/>
          <w:lang w:val="fr-CA"/>
          <w14:ligatures w14:val="standardContextual"/>
        </w:rPr>
        <w:t> (Lisboa, 1899).</w:t>
      </w:r>
    </w:p>
    <w:p w14:paraId="53CC86F7" w14:textId="77777777" w:rsidR="00385665" w:rsidRPr="00385665" w:rsidRDefault="00385665" w:rsidP="00385665">
      <w:pPr>
        <w:spacing w:after="0" w:line="240" w:lineRule="auto"/>
        <w:ind w:left="432" w:hanging="432"/>
        <w:jc w:val="both"/>
        <w:rPr>
          <w:rFonts w:ascii="Perpetua" w:eastAsia="Calibri" w:hAnsi="Perpetua" w:cs="Times New Roman"/>
          <w:kern w:val="2"/>
          <w:sz w:val="20"/>
          <w:szCs w:val="20"/>
          <w:lang w:val="fr-CA"/>
          <w14:ligatures w14:val="standardContextual"/>
        </w:rPr>
      </w:pPr>
      <w:r w:rsidRPr="00385665">
        <w:rPr>
          <w:rFonts w:ascii="Perpetua" w:eastAsia="Calibri" w:hAnsi="Perpetua" w:cs="Times New Roman"/>
          <w:kern w:val="2"/>
          <w:sz w:val="20"/>
          <w:szCs w:val="20"/>
          <w:lang w:val="fr-CA"/>
          <w14:ligatures w14:val="standardContextual"/>
        </w:rPr>
        <w:t>A. Dillmann, “Zur Geschichte des Axumitishcen Reiches im vierten bis sechsten Jahrhundert”, </w:t>
      </w:r>
      <w:r w:rsidRPr="00385665">
        <w:rPr>
          <w:rFonts w:ascii="Perpetua" w:eastAsia="Calibri" w:hAnsi="Perpetua" w:cs="Times New Roman"/>
          <w:i/>
          <w:iCs/>
          <w:kern w:val="2"/>
          <w:sz w:val="20"/>
          <w:szCs w:val="20"/>
          <w:lang w:val="fr-CA"/>
          <w14:ligatures w14:val="standardContextual"/>
        </w:rPr>
        <w:t>Abhandlungen der Königlichen Akademie der Wissenschaften zu Berlin</w:t>
      </w:r>
      <w:r w:rsidRPr="00385665">
        <w:rPr>
          <w:rFonts w:ascii="Perpetua" w:eastAsia="Calibri" w:hAnsi="Perpetua" w:cs="Times New Roman"/>
          <w:kern w:val="2"/>
          <w:sz w:val="20"/>
          <w:szCs w:val="20"/>
          <w:lang w:val="fr-CA"/>
          <w14:ligatures w14:val="standardContextual"/>
        </w:rPr>
        <w:t> (1880).</w:t>
      </w:r>
    </w:p>
    <w:p w14:paraId="68628B45" w14:textId="77777777" w:rsidR="00385665" w:rsidRPr="00385665" w:rsidRDefault="00385665" w:rsidP="00385665">
      <w:pPr>
        <w:spacing w:after="0" w:line="240" w:lineRule="auto"/>
        <w:ind w:left="432" w:hanging="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 xml:space="preserve">E. Littmann, </w:t>
      </w:r>
      <w:r w:rsidRPr="00385665">
        <w:rPr>
          <w:rFonts w:ascii="Perpetua" w:eastAsia="Calibri" w:hAnsi="Perpetua" w:cs="Times New Roman"/>
          <w:i/>
          <w:iCs/>
          <w:kern w:val="2"/>
          <w:sz w:val="20"/>
          <w:szCs w:val="20"/>
          <w14:ligatures w14:val="standardContextual"/>
        </w:rPr>
        <w:t>The Legend of the Queen of Sheba</w:t>
      </w:r>
      <w:r w:rsidRPr="00385665">
        <w:rPr>
          <w:rFonts w:ascii="Perpetua" w:eastAsia="Calibri" w:hAnsi="Perpetua" w:cs="Times New Roman"/>
          <w:kern w:val="2"/>
          <w:sz w:val="20"/>
          <w:szCs w:val="20"/>
          <w14:ligatures w14:val="standardContextual"/>
        </w:rPr>
        <w:t xml:space="preserve"> (Leyden, 1904).</w:t>
      </w:r>
    </w:p>
    <w:p w14:paraId="2785B23B" w14:textId="77777777" w:rsidR="00385665" w:rsidRPr="00385665" w:rsidRDefault="00385665" w:rsidP="00385665">
      <w:pPr>
        <w:spacing w:after="0" w:line="240" w:lineRule="auto"/>
        <w:ind w:left="432" w:hanging="432"/>
        <w:jc w:val="both"/>
        <w:rPr>
          <w:rFonts w:ascii="Perpetua" w:eastAsia="Calibri" w:hAnsi="Perpetua" w:cs="Times New Roman"/>
          <w:kern w:val="2"/>
          <w:sz w:val="20"/>
          <w:szCs w:val="20"/>
          <w:lang w:val="fr-CA"/>
          <w14:ligatures w14:val="standardContextual"/>
        </w:rPr>
      </w:pPr>
      <w:r w:rsidRPr="00385665">
        <w:rPr>
          <w:rFonts w:ascii="Perpetua" w:eastAsia="Calibri" w:hAnsi="Perpetua" w:cs="Times New Roman"/>
          <w:kern w:val="2"/>
          <w:sz w:val="20"/>
          <w:szCs w:val="20"/>
          <w:lang w:val="fr-CA"/>
          <w14:ligatures w14:val="standardContextual"/>
        </w:rPr>
        <w:t>M. Chaine, “Repertoire de Salam et Malke’e,” </w:t>
      </w:r>
      <w:r w:rsidRPr="00385665">
        <w:rPr>
          <w:rFonts w:ascii="Perpetua" w:eastAsia="Calibri" w:hAnsi="Perpetua" w:cs="Times New Roman"/>
          <w:i/>
          <w:iCs/>
          <w:kern w:val="2"/>
          <w:sz w:val="20"/>
          <w:szCs w:val="20"/>
          <w:lang w:val="fr-CA"/>
          <w14:ligatures w14:val="standardContextual"/>
        </w:rPr>
        <w:t>La Revue de l’Orient Chrétien</w:t>
      </w:r>
      <w:r w:rsidRPr="00385665">
        <w:rPr>
          <w:rFonts w:ascii="Perpetua" w:eastAsia="Calibri" w:hAnsi="Perpetua" w:cs="Times New Roman"/>
          <w:kern w:val="2"/>
          <w:sz w:val="20"/>
          <w:szCs w:val="20"/>
          <w:lang w:val="fr-CA"/>
          <w14:ligatures w14:val="standardContextual"/>
        </w:rPr>
        <w:t> (1913).</w:t>
      </w:r>
    </w:p>
    <w:p w14:paraId="4F1344F2" w14:textId="77777777" w:rsidR="00385665" w:rsidRPr="00385665" w:rsidRDefault="00385665" w:rsidP="00385665">
      <w:pPr>
        <w:spacing w:after="0" w:line="240" w:lineRule="auto"/>
        <w:ind w:left="432" w:hanging="432"/>
        <w:jc w:val="both"/>
        <w:rPr>
          <w:rFonts w:ascii="Perpetua" w:eastAsia="Calibri" w:hAnsi="Perpetua" w:cs="Times New Roman"/>
          <w:kern w:val="2"/>
          <w:sz w:val="20"/>
          <w:szCs w:val="20"/>
          <w:lang w:val="fr-CA"/>
          <w14:ligatures w14:val="standardContextual"/>
        </w:rPr>
      </w:pPr>
      <w:r w:rsidRPr="00385665">
        <w:rPr>
          <w:rFonts w:ascii="Perpetua" w:eastAsia="Calibri" w:hAnsi="Perpetua" w:cs="Times New Roman"/>
          <w:kern w:val="2"/>
          <w:sz w:val="20"/>
          <w:szCs w:val="20"/>
          <w:lang w:val="fr-CA"/>
          <w14:ligatures w14:val="standardContextual"/>
        </w:rPr>
        <w:t>J.-B. Coulbeaux, </w:t>
      </w:r>
      <w:r w:rsidRPr="00385665">
        <w:rPr>
          <w:rFonts w:ascii="Perpetua" w:eastAsia="Calibri" w:hAnsi="Perpetua" w:cs="Times New Roman"/>
          <w:i/>
          <w:iCs/>
          <w:kern w:val="2"/>
          <w:sz w:val="20"/>
          <w:szCs w:val="20"/>
          <w:lang w:val="fr-CA"/>
          <w14:ligatures w14:val="standardContextual"/>
        </w:rPr>
        <w:t>Histoire politique et religieuse de l’Abyssinie</w:t>
      </w:r>
      <w:r w:rsidRPr="00385665">
        <w:rPr>
          <w:rFonts w:ascii="Perpetua" w:eastAsia="Calibri" w:hAnsi="Perpetua" w:cs="Times New Roman"/>
          <w:kern w:val="2"/>
          <w:sz w:val="20"/>
          <w:szCs w:val="20"/>
          <w:lang w:val="fr-CA"/>
          <w14:ligatures w14:val="standardContextual"/>
        </w:rPr>
        <w:t> (Paris, 1929), Vol. I.</w:t>
      </w:r>
    </w:p>
    <w:p w14:paraId="3148C4A4" w14:textId="77777777" w:rsidR="00385665" w:rsidRPr="00385665" w:rsidRDefault="00385665" w:rsidP="00385665">
      <w:pPr>
        <w:spacing w:after="0" w:line="240" w:lineRule="auto"/>
        <w:ind w:left="432" w:hanging="432"/>
        <w:jc w:val="both"/>
        <w:rPr>
          <w:rFonts w:ascii="Perpetua" w:eastAsia="Calibri" w:hAnsi="Perpetua" w:cs="Times New Roman"/>
          <w:kern w:val="2"/>
          <w:sz w:val="20"/>
          <w:szCs w:val="20"/>
          <w:lang w:val="fr-CA"/>
          <w14:ligatures w14:val="standardContextual"/>
        </w:rPr>
      </w:pPr>
      <w:r w:rsidRPr="00385665">
        <w:rPr>
          <w:rFonts w:ascii="Perpetua" w:eastAsia="Calibri" w:hAnsi="Perpetua" w:cs="Times New Roman"/>
          <w:kern w:val="2"/>
          <w:sz w:val="20"/>
          <w:szCs w:val="20"/>
          <w:lang w:val="fr-CA"/>
          <w14:ligatures w14:val="standardContextual"/>
        </w:rPr>
        <w:t>M.-A. Van Den Oudenrijn, </w:t>
      </w:r>
      <w:r w:rsidRPr="00385665">
        <w:rPr>
          <w:rFonts w:ascii="Perpetua" w:eastAsia="Calibri" w:hAnsi="Perpetua" w:cs="Times New Roman"/>
          <w:i/>
          <w:iCs/>
          <w:kern w:val="2"/>
          <w:sz w:val="20"/>
          <w:szCs w:val="20"/>
          <w:lang w:val="fr-CA"/>
          <w14:ligatures w14:val="standardContextual"/>
        </w:rPr>
        <w:t>La vie de Saint Za Mika’êl ‘Aragawi</w:t>
      </w:r>
      <w:r w:rsidRPr="00385665">
        <w:rPr>
          <w:rFonts w:ascii="Perpetua" w:eastAsia="Calibri" w:hAnsi="Perpetua" w:cs="Times New Roman"/>
          <w:kern w:val="2"/>
          <w:sz w:val="20"/>
          <w:szCs w:val="20"/>
          <w:lang w:val="fr-CA"/>
          <w14:ligatures w14:val="standardContextual"/>
        </w:rPr>
        <w:t> (Fribourg, 1939).</w:t>
      </w:r>
    </w:p>
    <w:p w14:paraId="4FACA16B" w14:textId="77777777" w:rsidR="00385665" w:rsidRPr="00385665" w:rsidRDefault="00385665" w:rsidP="00385665">
      <w:pPr>
        <w:spacing w:after="0" w:line="240" w:lineRule="auto"/>
        <w:ind w:left="432" w:hanging="432"/>
        <w:jc w:val="both"/>
        <w:rPr>
          <w:rFonts w:ascii="Perpetua" w:eastAsia="Calibri" w:hAnsi="Perpetua" w:cs="Times New Roman"/>
          <w:kern w:val="2"/>
          <w:sz w:val="20"/>
          <w:szCs w:val="20"/>
          <w:lang w:val="fr-CA"/>
          <w14:ligatures w14:val="standardContextual"/>
        </w:rPr>
      </w:pPr>
      <w:r w:rsidRPr="00385665">
        <w:rPr>
          <w:rFonts w:ascii="Perpetua" w:eastAsia="Calibri" w:hAnsi="Perpetua" w:cs="Times New Roman"/>
          <w:kern w:val="2"/>
          <w:sz w:val="20"/>
          <w:szCs w:val="20"/>
          <w:lang w:val="fr-CA"/>
          <w14:ligatures w14:val="standardContextual"/>
        </w:rPr>
        <w:t>C. Conti Rossini, “L’omilia di Yohannes vescovo di Aksum in onore di Garima,” </w:t>
      </w:r>
      <w:r w:rsidRPr="00385665">
        <w:rPr>
          <w:rFonts w:ascii="Perpetua" w:eastAsia="Calibri" w:hAnsi="Perpetua" w:cs="Times New Roman"/>
          <w:i/>
          <w:iCs/>
          <w:kern w:val="2"/>
          <w:sz w:val="20"/>
          <w:szCs w:val="20"/>
          <w:lang w:val="fr-CA"/>
          <w14:ligatures w14:val="standardContextual"/>
        </w:rPr>
        <w:t>Actes du Congrès International des Orientalistes, Section Sémitique</w:t>
      </w:r>
      <w:r w:rsidRPr="00385665">
        <w:rPr>
          <w:rFonts w:ascii="Perpetua" w:eastAsia="Calibri" w:hAnsi="Perpetua" w:cs="Times New Roman"/>
          <w:kern w:val="2"/>
          <w:sz w:val="20"/>
          <w:szCs w:val="20"/>
          <w:lang w:val="fr-CA"/>
          <w14:ligatures w14:val="standardContextual"/>
        </w:rPr>
        <w:t> (Paris, 1898).</w:t>
      </w:r>
    </w:p>
    <w:p w14:paraId="2CB9578B" w14:textId="77777777" w:rsidR="00385665" w:rsidRPr="00385665" w:rsidRDefault="00385665" w:rsidP="00385665">
      <w:pPr>
        <w:spacing w:after="0" w:line="240" w:lineRule="auto"/>
        <w:ind w:left="432" w:hanging="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 (ed. ), </w:t>
      </w:r>
      <w:r w:rsidRPr="00385665">
        <w:rPr>
          <w:rFonts w:ascii="Perpetua" w:eastAsia="Calibri" w:hAnsi="Perpetua" w:cs="Times New Roman"/>
          <w:i/>
          <w:iCs/>
          <w:kern w:val="2"/>
          <w:sz w:val="20"/>
          <w:szCs w:val="20"/>
          <w14:ligatures w14:val="standardContextual"/>
        </w:rPr>
        <w:t>Acta Yared et Pantalewon</w:t>
      </w:r>
      <w:r w:rsidRPr="00385665">
        <w:rPr>
          <w:rFonts w:ascii="Perpetua" w:eastAsia="Calibri" w:hAnsi="Perpetua" w:cs="Times New Roman"/>
          <w:kern w:val="2"/>
          <w:sz w:val="20"/>
          <w:szCs w:val="20"/>
          <w14:ligatures w14:val="standardContextual"/>
        </w:rPr>
        <w:t>, </w:t>
      </w:r>
      <w:r w:rsidRPr="00385665">
        <w:rPr>
          <w:rFonts w:ascii="Perpetua" w:eastAsia="Calibri" w:hAnsi="Perpetua" w:cs="Times New Roman"/>
          <w:i/>
          <w:iCs/>
          <w:kern w:val="2"/>
          <w:sz w:val="20"/>
          <w:szCs w:val="20"/>
          <w14:ligatures w14:val="standardContextual"/>
        </w:rPr>
        <w:t>Corpus Scriptorum Christianorum Orientalium</w:t>
      </w:r>
      <w:r w:rsidRPr="00385665">
        <w:rPr>
          <w:rFonts w:ascii="Perpetua" w:eastAsia="Calibri" w:hAnsi="Perpetua" w:cs="Times New Roman"/>
          <w:kern w:val="2"/>
          <w:sz w:val="20"/>
          <w:szCs w:val="20"/>
          <w14:ligatures w14:val="standardContextual"/>
        </w:rPr>
        <w:t>, Scriptores aethiopici, series altera, t. XVII.</w:t>
      </w:r>
    </w:p>
    <w:p w14:paraId="5D6048E2" w14:textId="77777777" w:rsidR="00385665" w:rsidRPr="00385665" w:rsidRDefault="00385665" w:rsidP="00385665">
      <w:pPr>
        <w:spacing w:after="0" w:line="240" w:lineRule="auto"/>
        <w:ind w:left="432" w:hanging="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 </w:t>
      </w:r>
      <w:r w:rsidRPr="00385665">
        <w:rPr>
          <w:rFonts w:ascii="Perpetua" w:eastAsia="Calibri" w:hAnsi="Perpetua" w:cs="Times New Roman"/>
          <w:i/>
          <w:iCs/>
          <w:kern w:val="2"/>
          <w:sz w:val="20"/>
          <w:szCs w:val="20"/>
          <w14:ligatures w14:val="standardContextual"/>
        </w:rPr>
        <w:t>Storia d’Etiopia</w:t>
      </w:r>
      <w:r w:rsidRPr="00385665">
        <w:rPr>
          <w:rFonts w:ascii="Perpetua" w:eastAsia="Calibri" w:hAnsi="Perpetua" w:cs="Times New Roman"/>
          <w:kern w:val="2"/>
          <w:sz w:val="20"/>
          <w:szCs w:val="20"/>
          <w14:ligatures w14:val="standardContextual"/>
        </w:rPr>
        <w:t> (Bergamo, 1928).</w:t>
      </w:r>
    </w:p>
    <w:p w14:paraId="51D8FAB0" w14:textId="77777777" w:rsidR="00385665" w:rsidRPr="00385665" w:rsidRDefault="00385665" w:rsidP="00385665">
      <w:pPr>
        <w:spacing w:after="0" w:line="240" w:lineRule="auto"/>
        <w:ind w:left="432" w:hanging="432"/>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Sergew Hable-Selassie, </w:t>
      </w:r>
      <w:r w:rsidRPr="00385665">
        <w:rPr>
          <w:rFonts w:ascii="Perpetua" w:eastAsia="Calibri" w:hAnsi="Perpetua" w:cs="Times New Roman"/>
          <w:i/>
          <w:iCs/>
          <w:kern w:val="2"/>
          <w:sz w:val="20"/>
          <w:szCs w:val="20"/>
          <w14:ligatures w14:val="standardContextual"/>
        </w:rPr>
        <w:t>Ancient and Medieval Ethiopian History to 1270</w:t>
      </w:r>
      <w:r w:rsidRPr="00385665">
        <w:rPr>
          <w:rFonts w:ascii="Perpetua" w:eastAsia="Calibri" w:hAnsi="Perpetua" w:cs="Times New Roman"/>
          <w:kern w:val="2"/>
          <w:sz w:val="20"/>
          <w:szCs w:val="20"/>
          <w14:ligatures w14:val="standardContextual"/>
        </w:rPr>
        <w:t> (Addis Ababa, 1972), 115 ff.</w:t>
      </w:r>
    </w:p>
    <w:p w14:paraId="0C16240F"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4871F910"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576CBBB2"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This article is reproduced, with permission, from </w:t>
      </w:r>
      <w:r w:rsidRPr="00385665">
        <w:rPr>
          <w:rFonts w:ascii="Perpetua" w:eastAsia="Calibri" w:hAnsi="Perpetua" w:cs="Times New Roman"/>
          <w:i/>
          <w:iCs/>
          <w:kern w:val="2"/>
          <w:sz w:val="20"/>
          <w:szCs w:val="20"/>
          <w14:ligatures w14:val="standardContextual"/>
        </w:rPr>
        <w:t>The Dictionary of Ethiopian Biography, Vol. 1 ‘From Early Times to the End of the Zagwé Dynasty c. 1270 A.D.,’</w:t>
      </w:r>
      <w:r w:rsidRPr="00385665">
        <w:rPr>
          <w:rFonts w:ascii="Perpetua" w:eastAsia="Calibri" w:hAnsi="Perpetua" w:cs="Times New Roman"/>
          <w:kern w:val="2"/>
          <w:sz w:val="20"/>
          <w:szCs w:val="20"/>
          <w14:ligatures w14:val="standardContextual"/>
        </w:rPr>
        <w:t> copyright © 1975, edited by Belaynesh Michael, S. Chojnacki and Richard Pankhurst, Institute of Ethiopian Studies, Addis Ababa, Ethiopia. All rights reserved.</w:t>
      </w:r>
    </w:p>
    <w:p w14:paraId="01697030" w14:textId="77777777" w:rsid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3C321C30"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lastRenderedPageBreak/>
        <w:t>Edna (‘Edna)</w:t>
      </w:r>
    </w:p>
    <w:p w14:paraId="69703507" w14:textId="0D965393" w:rsidR="00385665" w:rsidRPr="00385665" w:rsidRDefault="00E45BA9"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5</w:t>
      </w:r>
      <w:r w:rsidRPr="00385665">
        <w:rPr>
          <w:rFonts w:ascii="Perpetua" w:eastAsia="Calibri" w:hAnsi="Perpetua" w:cs="Times New Roman"/>
          <w:b/>
          <w:bCs/>
          <w:kern w:val="2"/>
          <w:sz w:val="20"/>
          <w:szCs w:val="20"/>
          <w:vertAlign w:val="superscript"/>
          <w14:ligatures w14:val="standardContextual"/>
        </w:rPr>
        <w:t>th</w:t>
      </w:r>
      <w:r w:rsidRPr="00385665">
        <w:rPr>
          <w:rFonts w:ascii="Perpetua" w:eastAsia="Calibri" w:hAnsi="Perpetua" w:cs="Times New Roman"/>
          <w:b/>
          <w:bCs/>
          <w:kern w:val="2"/>
          <w:sz w:val="20"/>
          <w:szCs w:val="20"/>
          <w14:ligatures w14:val="standardContextual"/>
        </w:rPr>
        <w:t xml:space="preserve"> </w:t>
      </w:r>
      <w:r>
        <w:rPr>
          <w:rFonts w:ascii="Perpetua" w:eastAsia="Calibri" w:hAnsi="Perpetua" w:cs="Times New Roman"/>
          <w:b/>
          <w:bCs/>
          <w:kern w:val="2"/>
          <w:sz w:val="20"/>
          <w:szCs w:val="20"/>
          <w14:ligatures w14:val="standardContextual"/>
        </w:rPr>
        <w:t>– 6</w:t>
      </w:r>
      <w:r w:rsidRPr="00DD575B">
        <w:rPr>
          <w:rFonts w:ascii="Perpetua" w:eastAsia="Calibri" w:hAnsi="Perpetua" w:cs="Times New Roman"/>
          <w:b/>
          <w:bCs/>
          <w:kern w:val="2"/>
          <w:sz w:val="20"/>
          <w:szCs w:val="20"/>
          <w:vertAlign w:val="superscript"/>
          <w14:ligatures w14:val="standardContextual"/>
        </w:rPr>
        <w:t>th</w:t>
      </w:r>
      <w:r>
        <w:rPr>
          <w:rFonts w:ascii="Perpetua" w:eastAsia="Calibri" w:hAnsi="Perpetua" w:cs="Times New Roman"/>
          <w:b/>
          <w:bCs/>
          <w:kern w:val="2"/>
          <w:sz w:val="20"/>
          <w:szCs w:val="20"/>
          <w14:ligatures w14:val="standardContextual"/>
        </w:rPr>
        <w:t xml:space="preserve"> </w:t>
      </w:r>
      <w:r w:rsidR="00385665" w:rsidRPr="00385665">
        <w:rPr>
          <w:rFonts w:ascii="Perpetua" w:eastAsia="Calibri" w:hAnsi="Perpetua" w:cs="Times New Roman"/>
          <w:b/>
          <w:bCs/>
          <w:kern w:val="2"/>
          <w:sz w:val="20"/>
          <w:szCs w:val="20"/>
          <w14:ligatures w14:val="standardContextual"/>
        </w:rPr>
        <w:t>centuries</w:t>
      </w:r>
    </w:p>
    <w:p w14:paraId="10AF3459"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Ancient Christian Church</w:t>
      </w:r>
    </w:p>
    <w:p w14:paraId="2C77F5E7" w14:textId="77777777" w:rsidR="00385665" w:rsidRPr="00385665" w:rsidRDefault="00385665" w:rsidP="00385665">
      <w:pPr>
        <w:spacing w:after="0" w:line="240" w:lineRule="auto"/>
        <w:jc w:val="both"/>
        <w:rPr>
          <w:rFonts w:ascii="Perpetua" w:eastAsia="Calibri" w:hAnsi="Perpetua" w:cs="Times New Roman"/>
          <w:b/>
          <w:bCs/>
          <w:kern w:val="2"/>
          <w:sz w:val="20"/>
          <w:szCs w:val="20"/>
          <w14:ligatures w14:val="standardContextual"/>
        </w:rPr>
      </w:pPr>
      <w:r w:rsidRPr="00385665">
        <w:rPr>
          <w:rFonts w:ascii="Perpetua" w:eastAsia="Calibri" w:hAnsi="Perpetua" w:cs="Times New Roman"/>
          <w:b/>
          <w:bCs/>
          <w:kern w:val="2"/>
          <w:sz w:val="20"/>
          <w:szCs w:val="20"/>
          <w14:ligatures w14:val="standardContextual"/>
        </w:rPr>
        <w:t>Ethiopia</w:t>
      </w:r>
    </w:p>
    <w:p w14:paraId="112161E8"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48B5C398" w14:textId="35FC12F9"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‘Edna, was the mother of Zä-Mika’él ‘Arägawi, in whose company she is said to have come to Ethiopia. She was with him when he chose Däbrä Damo as the site for his monastery.</w:t>
      </w:r>
    </w:p>
    <w:p w14:paraId="001D6E8C"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0426998D" w14:textId="77777777" w:rsidR="00385665" w:rsidRPr="00385665" w:rsidRDefault="00385665" w:rsidP="00385665">
      <w:pPr>
        <w:spacing w:after="0" w:line="240" w:lineRule="auto"/>
        <w:jc w:val="both"/>
        <w:rPr>
          <w:rFonts w:ascii="Perpetua" w:eastAsia="Calibri" w:hAnsi="Perpetua" w:cs="Times New Roman"/>
          <w:kern w:val="2"/>
          <w:sz w:val="20"/>
          <w:szCs w:val="20"/>
          <w:lang w:val="fr-CA"/>
          <w14:ligatures w14:val="standardContextual"/>
        </w:rPr>
      </w:pPr>
      <w:r w:rsidRPr="00385665">
        <w:rPr>
          <w:rFonts w:ascii="Perpetua" w:eastAsia="Calibri" w:hAnsi="Perpetua" w:cs="Times New Roman"/>
          <w:kern w:val="2"/>
          <w:sz w:val="20"/>
          <w:szCs w:val="20"/>
          <w:lang w:val="fr-CA"/>
          <w14:ligatures w14:val="standardContextual"/>
        </w:rPr>
        <w:t>A. K. Irvine</w:t>
      </w:r>
    </w:p>
    <w:p w14:paraId="57DD5B8A" w14:textId="77777777" w:rsidR="00385665" w:rsidRPr="00385665" w:rsidRDefault="00385665" w:rsidP="00385665">
      <w:pPr>
        <w:spacing w:after="0" w:line="240" w:lineRule="auto"/>
        <w:jc w:val="both"/>
        <w:rPr>
          <w:rFonts w:ascii="Perpetua" w:eastAsia="Calibri" w:hAnsi="Perpetua" w:cs="Times New Roman"/>
          <w:kern w:val="2"/>
          <w:sz w:val="20"/>
          <w:szCs w:val="20"/>
          <w:lang w:val="fr-CA"/>
          <w14:ligatures w14:val="standardContextual"/>
        </w:rPr>
      </w:pPr>
    </w:p>
    <w:p w14:paraId="620D9083" w14:textId="77777777" w:rsidR="00385665" w:rsidRPr="00385665" w:rsidRDefault="00385665" w:rsidP="00385665">
      <w:pPr>
        <w:spacing w:after="0" w:line="240" w:lineRule="auto"/>
        <w:jc w:val="both"/>
        <w:rPr>
          <w:rFonts w:ascii="Perpetua" w:eastAsia="Calibri" w:hAnsi="Perpetua" w:cs="Times New Roman"/>
          <w:kern w:val="2"/>
          <w:sz w:val="20"/>
          <w:szCs w:val="20"/>
          <w:lang w:val="fr-CA"/>
          <w14:ligatures w14:val="standardContextual"/>
        </w:rPr>
      </w:pPr>
    </w:p>
    <w:p w14:paraId="3D6DE14F" w14:textId="77777777" w:rsidR="00385665" w:rsidRPr="00385665" w:rsidRDefault="00385665" w:rsidP="00385665">
      <w:pPr>
        <w:spacing w:after="0" w:line="240" w:lineRule="auto"/>
        <w:jc w:val="both"/>
        <w:rPr>
          <w:rFonts w:ascii="Perpetua" w:eastAsia="Calibri" w:hAnsi="Perpetua" w:cs="Times New Roman"/>
          <w:b/>
          <w:bCs/>
          <w:kern w:val="2"/>
          <w:sz w:val="20"/>
          <w:szCs w:val="20"/>
          <w:lang w:val="fr-CA"/>
          <w14:ligatures w14:val="standardContextual"/>
        </w:rPr>
      </w:pPr>
      <w:r w:rsidRPr="00385665">
        <w:rPr>
          <w:rFonts w:ascii="Perpetua" w:eastAsia="Calibri" w:hAnsi="Perpetua" w:cs="Times New Roman"/>
          <w:b/>
          <w:bCs/>
          <w:kern w:val="2"/>
          <w:sz w:val="20"/>
          <w:szCs w:val="20"/>
          <w:lang w:val="fr-CA"/>
          <w14:ligatures w14:val="standardContextual"/>
        </w:rPr>
        <w:t>Bibliography</w:t>
      </w:r>
    </w:p>
    <w:p w14:paraId="3B6966DF" w14:textId="77777777" w:rsidR="00385665" w:rsidRPr="00385665" w:rsidRDefault="00385665" w:rsidP="00385665">
      <w:pPr>
        <w:spacing w:after="0" w:line="240" w:lineRule="auto"/>
        <w:jc w:val="both"/>
        <w:rPr>
          <w:rFonts w:ascii="Perpetua" w:eastAsia="Calibri" w:hAnsi="Perpetua" w:cs="Times New Roman"/>
          <w:kern w:val="2"/>
          <w:sz w:val="20"/>
          <w:szCs w:val="20"/>
          <w:lang w:val="fr-CA"/>
          <w14:ligatures w14:val="standardContextual"/>
        </w:rPr>
      </w:pPr>
    </w:p>
    <w:p w14:paraId="559C4450" w14:textId="77777777" w:rsidR="00385665" w:rsidRPr="00385665" w:rsidRDefault="00385665" w:rsidP="00385665">
      <w:pPr>
        <w:spacing w:after="0" w:line="240" w:lineRule="auto"/>
        <w:jc w:val="both"/>
        <w:rPr>
          <w:rFonts w:ascii="Perpetua" w:eastAsia="Calibri" w:hAnsi="Perpetua" w:cs="Times New Roman"/>
          <w:kern w:val="2"/>
          <w:sz w:val="20"/>
          <w:szCs w:val="20"/>
          <w:lang w:val="fr-CA"/>
          <w14:ligatures w14:val="standardContextual"/>
        </w:rPr>
      </w:pPr>
      <w:r w:rsidRPr="00385665">
        <w:rPr>
          <w:rFonts w:ascii="Perpetua" w:eastAsia="Calibri" w:hAnsi="Perpetua" w:cs="Times New Roman"/>
          <w:kern w:val="2"/>
          <w:sz w:val="20"/>
          <w:szCs w:val="20"/>
          <w:lang w:val="fr-CA"/>
          <w14:ligatures w14:val="standardContextual"/>
        </w:rPr>
        <w:t>I. Guidi, “Il ‘Gadla ‘Aragâwî,’” </w:t>
      </w:r>
      <w:r w:rsidRPr="00385665">
        <w:rPr>
          <w:rFonts w:ascii="Perpetua" w:eastAsia="Calibri" w:hAnsi="Perpetua" w:cs="Times New Roman"/>
          <w:i/>
          <w:iCs/>
          <w:kern w:val="2"/>
          <w:sz w:val="20"/>
          <w:szCs w:val="20"/>
          <w:lang w:val="fr-CA"/>
          <w14:ligatures w14:val="standardContextual"/>
        </w:rPr>
        <w:t>Atti della Reale Accademia dei Lincei</w:t>
      </w:r>
      <w:r w:rsidRPr="00385665">
        <w:rPr>
          <w:rFonts w:ascii="Perpetua" w:eastAsia="Calibri" w:hAnsi="Perpetua" w:cs="Times New Roman"/>
          <w:kern w:val="2"/>
          <w:sz w:val="20"/>
          <w:szCs w:val="20"/>
          <w:lang w:val="fr-CA"/>
          <w14:ligatures w14:val="standardContextual"/>
        </w:rPr>
        <w:t> (1896), 54-96.</w:t>
      </w:r>
    </w:p>
    <w:p w14:paraId="66F59FF4" w14:textId="77777777" w:rsidR="00385665" w:rsidRPr="00385665" w:rsidRDefault="00385665" w:rsidP="00385665">
      <w:pPr>
        <w:spacing w:after="0" w:line="240" w:lineRule="auto"/>
        <w:jc w:val="both"/>
        <w:rPr>
          <w:rFonts w:ascii="Perpetua" w:eastAsia="Calibri" w:hAnsi="Perpetua" w:cs="Times New Roman"/>
          <w:kern w:val="2"/>
          <w:sz w:val="20"/>
          <w:szCs w:val="20"/>
          <w:lang w:val="fr-CA"/>
          <w14:ligatures w14:val="standardContextual"/>
        </w:rPr>
      </w:pPr>
    </w:p>
    <w:p w14:paraId="78064D3F" w14:textId="77777777" w:rsidR="00385665" w:rsidRPr="00385665" w:rsidRDefault="00385665" w:rsidP="00385665">
      <w:pPr>
        <w:spacing w:after="0" w:line="240" w:lineRule="auto"/>
        <w:jc w:val="both"/>
        <w:rPr>
          <w:rFonts w:ascii="Perpetua" w:eastAsia="Calibri" w:hAnsi="Perpetua" w:cs="Times New Roman"/>
          <w:kern w:val="2"/>
          <w:sz w:val="20"/>
          <w:szCs w:val="20"/>
          <w:lang w:val="fr-CA"/>
          <w14:ligatures w14:val="standardContextual"/>
        </w:rPr>
      </w:pPr>
    </w:p>
    <w:p w14:paraId="24CE6286"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r w:rsidRPr="00385665">
        <w:rPr>
          <w:rFonts w:ascii="Perpetua" w:eastAsia="Calibri" w:hAnsi="Perpetua" w:cs="Times New Roman"/>
          <w:kern w:val="2"/>
          <w:sz w:val="20"/>
          <w:szCs w:val="20"/>
          <w14:ligatures w14:val="standardContextual"/>
        </w:rPr>
        <w:t>This article is reproduced, with permission, from </w:t>
      </w:r>
      <w:r w:rsidRPr="00385665">
        <w:rPr>
          <w:rFonts w:ascii="Perpetua" w:eastAsia="Calibri" w:hAnsi="Perpetua" w:cs="Times New Roman"/>
          <w:i/>
          <w:iCs/>
          <w:kern w:val="2"/>
          <w:sz w:val="20"/>
          <w:szCs w:val="20"/>
          <w14:ligatures w14:val="standardContextual"/>
        </w:rPr>
        <w:t>The Dictionary of Ethiopian Biography, Vol. 1 ‘From Early Times to the End of the Zagwé Dynasty c. 1270 A.D.,’</w:t>
      </w:r>
      <w:r w:rsidRPr="00385665">
        <w:rPr>
          <w:rFonts w:ascii="Perpetua" w:eastAsia="Calibri" w:hAnsi="Perpetua" w:cs="Times New Roman"/>
          <w:kern w:val="2"/>
          <w:sz w:val="20"/>
          <w:szCs w:val="20"/>
          <w14:ligatures w14:val="standardContextual"/>
        </w:rPr>
        <w:t> copyright © 1975, edited by Belaynesh Michael, S. Chojnacki and Richard Pankhurst, Institute of Ethiopian Studies, Addis Ababa, Ethiopia. All rights reserved.</w:t>
      </w:r>
    </w:p>
    <w:p w14:paraId="1CA6733E"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389FCCB8" w14:textId="77777777" w:rsidR="00385665" w:rsidRPr="00385665" w:rsidRDefault="00385665" w:rsidP="00385665">
      <w:pPr>
        <w:spacing w:after="0" w:line="240" w:lineRule="auto"/>
        <w:jc w:val="both"/>
        <w:rPr>
          <w:rFonts w:ascii="Perpetua" w:eastAsia="Calibri" w:hAnsi="Perpetua" w:cs="Times New Roman"/>
          <w:kern w:val="2"/>
          <w:sz w:val="20"/>
          <w:szCs w:val="20"/>
          <w14:ligatures w14:val="standardContextual"/>
        </w:rPr>
      </w:pPr>
    </w:p>
    <w:p w14:paraId="142B2464" w14:textId="765C9AE2" w:rsidR="007E0C3D" w:rsidRPr="00C03E40" w:rsidRDefault="00BD7FBF" w:rsidP="00224E06">
      <w:pPr>
        <w:pStyle w:val="DACBHeading1"/>
        <w:rPr>
          <w:rFonts w:ascii="Perpetua" w:hAnsi="Perpetua"/>
          <w:sz w:val="20"/>
          <w:szCs w:val="20"/>
        </w:rPr>
      </w:pPr>
      <w:r w:rsidRPr="00C03E40">
        <w:rPr>
          <w:rFonts w:ascii="Perpetua" w:hAnsi="Perpetua"/>
          <w:sz w:val="20"/>
          <w:szCs w:val="20"/>
        </w:rPr>
        <w:br w:type="page"/>
      </w:r>
      <w:bookmarkStart w:id="8" w:name="_Toc158365920"/>
      <w:r w:rsidR="00224E06" w:rsidRPr="00C03E40">
        <w:rPr>
          <w:rStyle w:val="DACBHeading1Char"/>
        </w:rPr>
        <w:lastRenderedPageBreak/>
        <w:t>Inter</w:t>
      </w:r>
      <w:r w:rsidR="007E0C3D" w:rsidRPr="00C03E40">
        <w:rPr>
          <w:rStyle w:val="DACBHeading1Char"/>
        </w:rPr>
        <w:t>view</w:t>
      </w:r>
      <w:bookmarkEnd w:id="8"/>
      <w:r w:rsidR="007E0C3D" w:rsidRPr="00C03E40">
        <w:br/>
      </w:r>
    </w:p>
    <w:p w14:paraId="561FC23B" w14:textId="77777777" w:rsidR="007E0C3D" w:rsidRPr="00AF178D" w:rsidRDefault="007E0C3D" w:rsidP="007E0C3D">
      <w:pPr>
        <w:spacing w:after="0" w:line="240" w:lineRule="auto"/>
        <w:jc w:val="both"/>
        <w:rPr>
          <w:rFonts w:ascii="Perpetua" w:eastAsia="Calibri" w:hAnsi="Perpetua" w:cs="Times New Roman"/>
          <w:sz w:val="20"/>
          <w:szCs w:val="20"/>
        </w:rPr>
      </w:pPr>
      <w:r w:rsidRPr="00AF178D">
        <w:rPr>
          <w:rFonts w:ascii="Perpetua" w:eastAsia="Calibri" w:hAnsi="Perpetua" w:cs="Times New Roman"/>
          <w:b/>
          <w:bCs/>
          <w:sz w:val="20"/>
          <w:szCs w:val="20"/>
        </w:rPr>
        <w:t>Transcript of a video interview with Lamin Sanneh</w:t>
      </w:r>
      <w:r w:rsidRPr="00AF178D">
        <w:rPr>
          <w:rFonts w:ascii="Perpetua" w:eastAsia="Calibri" w:hAnsi="Perpetua" w:cs="Times New Roman"/>
          <w:sz w:val="20"/>
          <w:szCs w:val="20"/>
        </w:rPr>
        <w:t xml:space="preserve"> on the </w:t>
      </w:r>
      <w:r>
        <w:rPr>
          <w:rFonts w:ascii="Perpetua" w:eastAsia="Calibri" w:hAnsi="Perpetua" w:cs="Times New Roman"/>
          <w:sz w:val="20"/>
          <w:szCs w:val="20"/>
        </w:rPr>
        <w:t>l</w:t>
      </w:r>
      <w:r w:rsidRPr="00AF178D">
        <w:rPr>
          <w:rFonts w:ascii="Perpetua" w:eastAsia="Calibri" w:hAnsi="Perpetua" w:cs="Times New Roman"/>
          <w:sz w:val="20"/>
          <w:szCs w:val="20"/>
        </w:rPr>
        <w:t xml:space="preserve">egacy of </w:t>
      </w:r>
      <w:r w:rsidRPr="00AF178D">
        <w:rPr>
          <w:rFonts w:ascii="Perpetua" w:eastAsia="Calibri" w:hAnsi="Perpetua" w:cs="Times New Roman"/>
          <w:i/>
          <w:sz w:val="20"/>
          <w:szCs w:val="20"/>
        </w:rPr>
        <w:t xml:space="preserve">How Africa Shaped the Christian Mind </w:t>
      </w:r>
      <w:r w:rsidRPr="00AF178D">
        <w:rPr>
          <w:rFonts w:ascii="Perpetua" w:eastAsia="Calibri" w:hAnsi="Perpetua" w:cs="Times New Roman"/>
          <w:iCs/>
          <w:sz w:val="20"/>
          <w:szCs w:val="20"/>
        </w:rPr>
        <w:t>by Thomas Oden</w:t>
      </w:r>
      <w:r>
        <w:rPr>
          <w:rFonts w:ascii="Perpetua" w:eastAsia="Calibri" w:hAnsi="Perpetua" w:cs="Times New Roman"/>
          <w:iCs/>
          <w:sz w:val="20"/>
          <w:szCs w:val="20"/>
        </w:rPr>
        <w:t xml:space="preserve">. </w:t>
      </w:r>
      <w:r w:rsidRPr="00AF178D">
        <w:rPr>
          <w:rFonts w:ascii="Perpetua" w:eastAsia="Calibri" w:hAnsi="Perpetua" w:cs="Times New Roman"/>
          <w:sz w:val="20"/>
          <w:szCs w:val="20"/>
        </w:rPr>
        <w:t>Interview</w:t>
      </w:r>
      <w:r>
        <w:rPr>
          <w:rFonts w:ascii="Perpetua" w:eastAsia="Calibri" w:hAnsi="Perpetua" w:cs="Times New Roman"/>
          <w:sz w:val="20"/>
          <w:szCs w:val="20"/>
        </w:rPr>
        <w:t xml:space="preserve"> on</w:t>
      </w:r>
      <w:r w:rsidRPr="00AF178D">
        <w:rPr>
          <w:rFonts w:ascii="Perpetua" w:eastAsia="Calibri" w:hAnsi="Perpetua" w:cs="Times New Roman"/>
          <w:sz w:val="20"/>
          <w:szCs w:val="20"/>
        </w:rPr>
        <w:t xml:space="preserve"> August 14, 2018, Yale Studio, New Haven, CT.</w:t>
      </w:r>
    </w:p>
    <w:p w14:paraId="1B6B2A3A" w14:textId="77777777" w:rsidR="007E0C3D" w:rsidRPr="00AF178D" w:rsidRDefault="007E0C3D" w:rsidP="007E0C3D">
      <w:pPr>
        <w:spacing w:after="0" w:line="240" w:lineRule="auto"/>
        <w:jc w:val="both"/>
        <w:rPr>
          <w:rFonts w:ascii="Perpetua" w:eastAsia="Calibri" w:hAnsi="Perpetua" w:cs="Times New Roman"/>
          <w:sz w:val="20"/>
          <w:szCs w:val="20"/>
        </w:rPr>
      </w:pPr>
    </w:p>
    <w:p w14:paraId="793FAFE9" w14:textId="77777777" w:rsidR="007E0C3D" w:rsidRPr="00AF178D" w:rsidRDefault="007E0C3D" w:rsidP="007E0C3D">
      <w:pPr>
        <w:spacing w:after="0" w:line="240" w:lineRule="auto"/>
        <w:jc w:val="both"/>
        <w:rPr>
          <w:rFonts w:ascii="Perpetua" w:eastAsia="Calibri" w:hAnsi="Perpetua" w:cs="Times New Roman"/>
          <w:sz w:val="20"/>
          <w:szCs w:val="20"/>
        </w:rPr>
      </w:pPr>
      <w:r w:rsidRPr="00AF178D">
        <w:rPr>
          <w:rFonts w:ascii="Perpetua" w:eastAsia="Calibri" w:hAnsi="Perpetua" w:cs="Times New Roman"/>
          <w:sz w:val="20"/>
          <w:szCs w:val="20"/>
        </w:rPr>
        <w:t xml:space="preserve">To say a few words about the work of Thomas Oden, his work on the ancient Christian commentaries, but particularly his work on </w:t>
      </w:r>
      <w:r w:rsidRPr="00AF178D">
        <w:rPr>
          <w:rFonts w:ascii="Perpetua" w:eastAsia="Calibri" w:hAnsi="Perpetua" w:cs="Times New Roman"/>
          <w:i/>
          <w:sz w:val="20"/>
          <w:szCs w:val="20"/>
        </w:rPr>
        <w:t>How Africa Shaped the Christian Mind</w:t>
      </w:r>
      <w:r w:rsidRPr="00AF178D">
        <w:rPr>
          <w:rFonts w:ascii="Perpetua" w:eastAsia="Calibri" w:hAnsi="Perpetua" w:cs="Times New Roman"/>
          <w:sz w:val="20"/>
          <w:szCs w:val="20"/>
        </w:rPr>
        <w:t>. Where Tom is concerned to indicate the African roots, the African sources of Christian theological and spiritual reflection in the early centuries of the faith. A period that tends to be rather hidden from most Africans in sub-Saharan Africa.</w:t>
      </w:r>
    </w:p>
    <w:p w14:paraId="1B4C6A5E" w14:textId="77777777" w:rsidR="007E0C3D" w:rsidRPr="00AF178D" w:rsidRDefault="007E0C3D" w:rsidP="007E0C3D">
      <w:pPr>
        <w:spacing w:after="0" w:line="240" w:lineRule="auto"/>
        <w:ind w:firstLine="432"/>
        <w:jc w:val="both"/>
        <w:rPr>
          <w:rFonts w:ascii="Perpetua" w:eastAsia="Calibri" w:hAnsi="Perpetua" w:cs="Times New Roman"/>
          <w:sz w:val="20"/>
          <w:szCs w:val="20"/>
        </w:rPr>
      </w:pPr>
      <w:r w:rsidRPr="00AF178D">
        <w:rPr>
          <w:rFonts w:ascii="Perpetua" w:eastAsia="Calibri" w:hAnsi="Perpetua" w:cs="Times New Roman"/>
          <w:sz w:val="20"/>
          <w:szCs w:val="20"/>
        </w:rPr>
        <w:t>That work of Tom Oden in reminding us of the African heritage of early Christianity going back to North Africa, in Egypt and Ethiopia and Nubia, etc., is extremely important for developments that are current in African Christianity. Why in the first place? Christianity is not a relic. Christianity is not something to be recovered. Christianity is a living religion. That means that the ancestors of the faith who lived in North Africa and Egypt and went through experiences not too dissimilar from the experiences of contemporary Africans are extremely important for us to acknowledge.</w:t>
      </w:r>
    </w:p>
    <w:p w14:paraId="5D996134" w14:textId="77777777" w:rsidR="007E0C3D" w:rsidRPr="00AF178D" w:rsidRDefault="007E0C3D" w:rsidP="007E0C3D">
      <w:pPr>
        <w:spacing w:after="0" w:line="240" w:lineRule="auto"/>
        <w:ind w:firstLine="432"/>
        <w:jc w:val="both"/>
        <w:rPr>
          <w:rFonts w:ascii="Perpetua" w:eastAsia="Calibri" w:hAnsi="Perpetua" w:cs="Times New Roman"/>
          <w:sz w:val="20"/>
          <w:szCs w:val="20"/>
        </w:rPr>
      </w:pPr>
      <w:r w:rsidRPr="00AF178D">
        <w:rPr>
          <w:rFonts w:ascii="Perpetua" w:eastAsia="Calibri" w:hAnsi="Perpetua" w:cs="Times New Roman"/>
          <w:sz w:val="20"/>
          <w:szCs w:val="20"/>
        </w:rPr>
        <w:t>Secondly, the work that Tom Oden did and the course to which he devoted his energies towards the second career of his life is a reminder to us that the task of Christian scholarship in Africa is to join the story of Christianity in Africa with the story of those early Christians in North Africa who are also grappling with the same issues of faith, of integration, of devotion or faithfulness, and carrying on a tradition that they believe is worth passing on to posterity.</w:t>
      </w:r>
    </w:p>
    <w:p w14:paraId="6032E58D" w14:textId="77777777" w:rsidR="007E0C3D" w:rsidRPr="00AF178D" w:rsidRDefault="007E0C3D" w:rsidP="007E0C3D">
      <w:pPr>
        <w:spacing w:after="0" w:line="240" w:lineRule="auto"/>
        <w:ind w:firstLine="432"/>
        <w:jc w:val="both"/>
        <w:rPr>
          <w:rFonts w:ascii="Perpetua" w:eastAsia="Calibri" w:hAnsi="Perpetua" w:cs="Times New Roman"/>
          <w:sz w:val="20"/>
          <w:szCs w:val="20"/>
        </w:rPr>
      </w:pPr>
      <w:r w:rsidRPr="00AF178D">
        <w:rPr>
          <w:rFonts w:ascii="Perpetua" w:eastAsia="Calibri" w:hAnsi="Perpetua" w:cs="Times New Roman"/>
          <w:sz w:val="20"/>
          <w:szCs w:val="20"/>
        </w:rPr>
        <w:t>In other words, these ancient Christian writers and scholars and theologians were absolutely convinced that the faith they lived and practiced was a faith for the whole world and for all time, not only for their time, but only for themselves. That is a lesson we need to learn. But it seems to me another important dimension of this work is how the early Christians were concerned with developing Christianity in terms of its civil status.</w:t>
      </w:r>
    </w:p>
    <w:p w14:paraId="1B9D2E03" w14:textId="77777777" w:rsidR="007E0C3D" w:rsidRPr="00AF178D" w:rsidRDefault="007E0C3D" w:rsidP="007E0C3D">
      <w:pPr>
        <w:spacing w:after="0" w:line="240" w:lineRule="auto"/>
        <w:ind w:firstLine="432"/>
        <w:jc w:val="both"/>
        <w:rPr>
          <w:rFonts w:ascii="Perpetua" w:eastAsia="Calibri" w:hAnsi="Perpetua" w:cs="Times New Roman"/>
          <w:sz w:val="20"/>
          <w:szCs w:val="20"/>
        </w:rPr>
      </w:pPr>
      <w:r w:rsidRPr="00AF178D">
        <w:rPr>
          <w:rFonts w:ascii="Perpetua" w:eastAsia="Calibri" w:hAnsi="Perpetua" w:cs="Times New Roman"/>
          <w:sz w:val="20"/>
          <w:szCs w:val="20"/>
        </w:rPr>
        <w:t>What I mean by this is that Christianity had been under the hammer from political authorities and political powers. Christianity had to go underground in the catacombs in order to survive. When it emerged, it came up for air, as it were. It did so in the lives of monasteries, monks, and devotees in the South who came out believing very much that they must live a life of obedience and devotion, a life of honesty, a life of discipline that was worthy of the God whom they believe had called them to service.</w:t>
      </w:r>
    </w:p>
    <w:p w14:paraId="77FAF01E" w14:textId="77777777" w:rsidR="007E0C3D" w:rsidRPr="00AF178D" w:rsidRDefault="007E0C3D" w:rsidP="007E0C3D">
      <w:pPr>
        <w:spacing w:after="0" w:line="240" w:lineRule="auto"/>
        <w:ind w:firstLine="432"/>
        <w:jc w:val="both"/>
        <w:rPr>
          <w:rFonts w:ascii="Perpetua" w:eastAsia="Calibri" w:hAnsi="Perpetua" w:cs="Times New Roman"/>
          <w:sz w:val="20"/>
          <w:szCs w:val="20"/>
        </w:rPr>
      </w:pPr>
      <w:r w:rsidRPr="00AF178D">
        <w:rPr>
          <w:rFonts w:ascii="Perpetua" w:eastAsia="Calibri" w:hAnsi="Perpetua" w:cs="Times New Roman"/>
          <w:sz w:val="20"/>
          <w:szCs w:val="20"/>
        </w:rPr>
        <w:t>We need to learn, therefore, the importance of faith and obedience in terms of the God who not only makes these things important for us but gives us the grace, and the power, and the spiritual energy to live up to those values, to live up to those virtues. And it seems to me, therefore, that African Christianity has a very long hinterland in history that we can claim that Christianity is not just happening in Africa, as it were, from the missionary movement of the 19th century.</w:t>
      </w:r>
    </w:p>
    <w:p w14:paraId="70DAB697" w14:textId="77777777" w:rsidR="007E0C3D" w:rsidRPr="00AF178D" w:rsidRDefault="007E0C3D" w:rsidP="007E0C3D">
      <w:pPr>
        <w:spacing w:after="0" w:line="240" w:lineRule="auto"/>
        <w:ind w:firstLine="432"/>
        <w:jc w:val="both"/>
        <w:rPr>
          <w:rFonts w:ascii="Perpetua" w:eastAsia="Calibri" w:hAnsi="Perpetua" w:cs="Times New Roman"/>
          <w:sz w:val="20"/>
          <w:szCs w:val="20"/>
        </w:rPr>
      </w:pPr>
      <w:r w:rsidRPr="00AF178D">
        <w:rPr>
          <w:rFonts w:ascii="Perpetua" w:eastAsia="Calibri" w:hAnsi="Perpetua" w:cs="Times New Roman"/>
          <w:sz w:val="20"/>
          <w:szCs w:val="20"/>
        </w:rPr>
        <w:lastRenderedPageBreak/>
        <w:t>Christianity has a very long history, and the work of the Oden is a reminder to us of the gratitude of the debt we owe to those who came before us. And finally, I did hint at this theme in my earlier comment about how we must take responsibility for their faith for posterity. We must look to the future.</w:t>
      </w:r>
    </w:p>
    <w:p w14:paraId="119BBD43" w14:textId="77777777" w:rsidR="007E0C3D" w:rsidRPr="00AF178D" w:rsidRDefault="007E0C3D" w:rsidP="007E0C3D">
      <w:pPr>
        <w:spacing w:after="0" w:line="240" w:lineRule="auto"/>
        <w:ind w:firstLine="432"/>
        <w:jc w:val="both"/>
        <w:rPr>
          <w:rFonts w:ascii="Perpetua" w:eastAsia="Calibri" w:hAnsi="Perpetua" w:cs="Times New Roman"/>
          <w:sz w:val="20"/>
          <w:szCs w:val="20"/>
        </w:rPr>
      </w:pPr>
      <w:r w:rsidRPr="00AF178D">
        <w:rPr>
          <w:rFonts w:ascii="Perpetua" w:eastAsia="Calibri" w:hAnsi="Perpetua" w:cs="Times New Roman"/>
          <w:sz w:val="20"/>
          <w:szCs w:val="20"/>
        </w:rPr>
        <w:t>We must look to how we shape our communities and our societies in the light of religious teaching, in the light of the call of the Gospel to a God who is a living God, a God who has overcome the constraints and the dangers of living, a life of helplessness, a life of peril of danger, and yet emerge and giving life's lessons of hope, humility, faith, generosity, forgiveness, reconciliation.</w:t>
      </w:r>
    </w:p>
    <w:p w14:paraId="1EB8774D" w14:textId="77777777" w:rsidR="007E0C3D" w:rsidRPr="00AF178D" w:rsidRDefault="007E0C3D" w:rsidP="007E0C3D">
      <w:pPr>
        <w:spacing w:after="0" w:line="240" w:lineRule="auto"/>
        <w:ind w:firstLine="432"/>
        <w:jc w:val="both"/>
        <w:rPr>
          <w:rFonts w:ascii="Perpetua" w:eastAsia="Calibri" w:hAnsi="Perpetua" w:cs="Times New Roman"/>
          <w:sz w:val="20"/>
          <w:szCs w:val="20"/>
        </w:rPr>
      </w:pPr>
      <w:r w:rsidRPr="00AF178D">
        <w:rPr>
          <w:rFonts w:ascii="Perpetua" w:eastAsia="Calibri" w:hAnsi="Perpetua" w:cs="Times New Roman"/>
          <w:sz w:val="20"/>
          <w:szCs w:val="20"/>
        </w:rPr>
        <w:t>All those values in which believers are called to help those in need, to tell their neighbors to help those who are helpless, to help those who are on the margins. To help those who are excluded and so forth and so on. A life of ethical living and ethical service. And to go back to the roots of Christianity and see this ethical principle we inherited from Judaism.</w:t>
      </w:r>
    </w:p>
    <w:p w14:paraId="25C59526" w14:textId="77777777" w:rsidR="007E0C3D" w:rsidRPr="00AF178D" w:rsidRDefault="007E0C3D" w:rsidP="007E0C3D">
      <w:pPr>
        <w:spacing w:after="0" w:line="240" w:lineRule="auto"/>
        <w:ind w:firstLine="432"/>
        <w:jc w:val="both"/>
        <w:rPr>
          <w:rFonts w:ascii="Perpetua" w:eastAsia="Calibri" w:hAnsi="Perpetua" w:cs="Times New Roman"/>
          <w:sz w:val="20"/>
          <w:szCs w:val="20"/>
        </w:rPr>
      </w:pPr>
      <w:r w:rsidRPr="00AF178D">
        <w:rPr>
          <w:rFonts w:ascii="Perpetua" w:eastAsia="Calibri" w:hAnsi="Perpetua" w:cs="Times New Roman"/>
          <w:sz w:val="20"/>
          <w:szCs w:val="20"/>
        </w:rPr>
        <w:t>Religion is not only about how you feel. Religion is about how you treat your neighbor, about how you treat the other. And it seems to me that Tom's work is a reminder to us that we owe an obligation not only to ourselves but to those who came before us and to those who will succeed us. And so our thanks should be really emphasized in terms of what Tom's legacy has been for African Christianity.</w:t>
      </w:r>
    </w:p>
    <w:p w14:paraId="27F793EB" w14:textId="17AD6C7C" w:rsidR="007E0C3D" w:rsidRPr="00AF178D" w:rsidRDefault="007E0C3D" w:rsidP="007E0C3D">
      <w:pPr>
        <w:spacing w:after="0" w:line="240" w:lineRule="auto"/>
        <w:ind w:firstLine="432"/>
        <w:jc w:val="both"/>
        <w:rPr>
          <w:rFonts w:ascii="Perpetua" w:eastAsia="Calibri" w:hAnsi="Perpetua" w:cs="Times New Roman"/>
          <w:sz w:val="20"/>
          <w:szCs w:val="20"/>
        </w:rPr>
      </w:pPr>
      <w:r w:rsidRPr="00AF178D">
        <w:rPr>
          <w:rFonts w:ascii="Perpetua" w:eastAsia="Calibri" w:hAnsi="Perpetua" w:cs="Times New Roman"/>
          <w:sz w:val="20"/>
          <w:szCs w:val="20"/>
        </w:rPr>
        <w:t xml:space="preserve">I don't know when he began his work because I only met Tom towards the end of his life. But it seems to me that he really anticipated the remarkable way that the developments that are current and contemporary in African and contemporary society in Africa will be immensely enriched and deepened by the legacy of Tom's work on </w:t>
      </w:r>
      <w:r w:rsidRPr="00AF178D">
        <w:rPr>
          <w:rFonts w:ascii="Perpetua" w:eastAsia="Calibri" w:hAnsi="Perpetua" w:cs="Times New Roman"/>
          <w:i/>
          <w:sz w:val="20"/>
          <w:szCs w:val="20"/>
        </w:rPr>
        <w:t>How Africa Shaped the Christian Mind</w:t>
      </w:r>
      <w:r w:rsidRPr="00AF178D">
        <w:rPr>
          <w:rFonts w:ascii="Perpetua" w:eastAsia="Calibri" w:hAnsi="Perpetua" w:cs="Times New Roman"/>
          <w:sz w:val="20"/>
          <w:szCs w:val="20"/>
        </w:rPr>
        <w:t>.</w:t>
      </w:r>
      <w:r w:rsidR="00B2021B">
        <w:rPr>
          <w:rFonts w:ascii="Perpetua" w:eastAsia="Calibri" w:hAnsi="Perpetua" w:cs="Times New Roman"/>
          <w:sz w:val="20"/>
          <w:szCs w:val="20"/>
        </w:rPr>
        <w:sym w:font="Wingdings" w:char="F076"/>
      </w:r>
    </w:p>
    <w:p w14:paraId="5FF2724A" w14:textId="77777777" w:rsidR="007E0C3D" w:rsidRPr="00AF178D" w:rsidRDefault="007E0C3D" w:rsidP="007E0C3D">
      <w:pPr>
        <w:spacing w:after="0" w:line="240" w:lineRule="auto"/>
        <w:jc w:val="both"/>
        <w:rPr>
          <w:rFonts w:ascii="Perpetua" w:eastAsia="Calibri" w:hAnsi="Perpetua" w:cs="Times New Roman"/>
          <w:sz w:val="20"/>
          <w:szCs w:val="20"/>
        </w:rPr>
      </w:pPr>
    </w:p>
    <w:p w14:paraId="73176B81" w14:textId="77777777" w:rsidR="007E0C3D" w:rsidRDefault="007E0C3D" w:rsidP="007E0C3D">
      <w:pPr>
        <w:spacing w:after="0" w:line="240" w:lineRule="auto"/>
        <w:jc w:val="both"/>
        <w:rPr>
          <w:rFonts w:ascii="Perpetua" w:eastAsia="Calibri" w:hAnsi="Perpetua" w:cs="Times New Roman"/>
          <w:iCs/>
          <w:sz w:val="20"/>
          <w:szCs w:val="20"/>
        </w:rPr>
      </w:pPr>
      <w:r w:rsidRPr="00AF178D">
        <w:rPr>
          <w:rFonts w:ascii="Perpetua" w:eastAsia="Calibri" w:hAnsi="Perpetua" w:cs="Times New Roman"/>
          <w:iCs/>
          <w:sz w:val="20"/>
          <w:szCs w:val="20"/>
        </w:rPr>
        <w:t>Lamin Sanneh</w:t>
      </w:r>
      <w:r w:rsidRPr="00AF178D">
        <w:rPr>
          <w:rFonts w:ascii="Perpetua" w:eastAsia="Calibri" w:hAnsi="Perpetua" w:cs="Times New Roman"/>
          <w:i/>
          <w:iCs/>
          <w:sz w:val="20"/>
          <w:szCs w:val="20"/>
        </w:rPr>
        <w:t xml:space="preserve"> </w:t>
      </w:r>
      <w:r w:rsidRPr="00AF178D">
        <w:rPr>
          <w:rFonts w:ascii="Perpetua" w:eastAsia="Calibri" w:hAnsi="Perpetua" w:cs="Times New Roman"/>
          <w:iCs/>
          <w:sz w:val="20"/>
          <w:szCs w:val="20"/>
        </w:rPr>
        <w:t xml:space="preserve">(1942-2019) Former </w:t>
      </w:r>
      <w:r w:rsidRPr="00AF178D">
        <w:rPr>
          <w:rFonts w:ascii="Perpetua" w:eastAsia="Calibri" w:hAnsi="Perpetua" w:cs="Times New Roman"/>
          <w:i/>
          <w:iCs/>
          <w:sz w:val="20"/>
          <w:szCs w:val="20"/>
        </w:rPr>
        <w:t xml:space="preserve">D. Willis James Professor of Missions and World Christianity and Professor of History at Yale. </w:t>
      </w:r>
      <w:r w:rsidRPr="00AF178D">
        <w:rPr>
          <w:rFonts w:ascii="Perpetua" w:eastAsia="Calibri" w:hAnsi="Perpetua" w:cs="Times New Roman"/>
          <w:iCs/>
          <w:sz w:val="20"/>
          <w:szCs w:val="20"/>
        </w:rPr>
        <w:t xml:space="preserve">He is the author of several books, including </w:t>
      </w:r>
      <w:r w:rsidRPr="00AF178D">
        <w:rPr>
          <w:rFonts w:ascii="Perpetua" w:eastAsia="Calibri" w:hAnsi="Perpetua" w:cs="Times New Roman"/>
          <w:i/>
          <w:sz w:val="20"/>
          <w:szCs w:val="20"/>
        </w:rPr>
        <w:t>Disciples of All Nations: Pillars of World Christianity</w:t>
      </w:r>
      <w:r w:rsidRPr="00AF178D">
        <w:rPr>
          <w:rFonts w:ascii="Perpetua" w:eastAsia="Calibri" w:hAnsi="Perpetua" w:cs="Times New Roman"/>
          <w:iCs/>
          <w:sz w:val="20"/>
          <w:szCs w:val="20"/>
        </w:rPr>
        <w:t xml:space="preserve"> (OUP 2007).</w:t>
      </w:r>
    </w:p>
    <w:p w14:paraId="50C13A71" w14:textId="77777777" w:rsidR="007E0C3D" w:rsidRPr="00AF178D" w:rsidRDefault="007E0C3D" w:rsidP="007E0C3D">
      <w:pPr>
        <w:spacing w:after="0" w:line="240" w:lineRule="auto"/>
        <w:jc w:val="both"/>
        <w:rPr>
          <w:rFonts w:ascii="Perpetua" w:eastAsia="Calibri" w:hAnsi="Perpetua" w:cs="Times New Roman"/>
          <w:sz w:val="20"/>
          <w:szCs w:val="20"/>
        </w:rPr>
      </w:pPr>
    </w:p>
    <w:p w14:paraId="603F17AA" w14:textId="78AC20D1" w:rsidR="00A81E76" w:rsidRDefault="007E0C3D" w:rsidP="00A81E76">
      <w:pPr>
        <w:pStyle w:val="DACBHeading1"/>
      </w:pPr>
      <w:r>
        <w:br w:type="page"/>
      </w:r>
      <w:bookmarkStart w:id="9" w:name="_Toc158365921"/>
      <w:r>
        <w:lastRenderedPageBreak/>
        <w:t>Book Highlight</w:t>
      </w:r>
      <w:bookmarkEnd w:id="9"/>
      <w:r w:rsidR="00A81E76">
        <w:br/>
      </w:r>
    </w:p>
    <w:p w14:paraId="51A38733" w14:textId="77777777" w:rsidR="00A81E76" w:rsidRPr="00A81E76" w:rsidRDefault="00A81E76" w:rsidP="00A81E76">
      <w:pPr>
        <w:spacing w:after="0" w:line="240" w:lineRule="auto"/>
        <w:jc w:val="both"/>
        <w:rPr>
          <w:rFonts w:ascii="Perpetua" w:eastAsia="Calibri" w:hAnsi="Perpetua" w:cs="Times New Roman"/>
          <w:b/>
          <w:bCs/>
          <w:kern w:val="2"/>
          <w:sz w:val="20"/>
          <w:szCs w:val="20"/>
          <w14:ligatures w14:val="standardContextual"/>
        </w:rPr>
      </w:pPr>
      <w:r w:rsidRPr="00A81E76">
        <w:rPr>
          <w:rFonts w:ascii="Perpetua" w:eastAsia="Calibri" w:hAnsi="Perpetua" w:cs="Times New Roman"/>
          <w:kern w:val="2"/>
          <w:sz w:val="20"/>
          <w:szCs w:val="20"/>
          <w14:ligatures w14:val="standardContextual"/>
        </w:rPr>
        <w:t>Selection from Thomas Oden,</w:t>
      </w:r>
      <w:r w:rsidRPr="00A81E76">
        <w:rPr>
          <w:rFonts w:ascii="Perpetua" w:eastAsia="Calibri" w:hAnsi="Perpetua" w:cs="Times New Roman"/>
          <w:b/>
          <w:bCs/>
          <w:kern w:val="2"/>
          <w:sz w:val="20"/>
          <w:szCs w:val="20"/>
          <w14:ligatures w14:val="standardContextual"/>
        </w:rPr>
        <w:t xml:space="preserve"> </w:t>
      </w:r>
      <w:r w:rsidRPr="00A81E76">
        <w:rPr>
          <w:rFonts w:ascii="Perpetua" w:eastAsia="Calibri" w:hAnsi="Perpetua" w:cs="Times New Roman"/>
          <w:b/>
          <w:bCs/>
          <w:i/>
          <w:iCs/>
          <w:kern w:val="2"/>
          <w:sz w:val="20"/>
          <w:szCs w:val="20"/>
          <w14:ligatures w14:val="standardContextual"/>
        </w:rPr>
        <w:t>African Memory of Mark: Reassessing Early Church Tradition</w:t>
      </w:r>
      <w:r w:rsidRPr="00A81E76">
        <w:rPr>
          <w:rFonts w:ascii="Perpetua" w:eastAsia="Calibri" w:hAnsi="Perpetua" w:cs="Times New Roman"/>
          <w:b/>
          <w:bCs/>
          <w:kern w:val="2"/>
          <w:sz w:val="20"/>
          <w:szCs w:val="20"/>
          <w14:ligatures w14:val="standardContextual"/>
        </w:rPr>
        <w:t xml:space="preserve"> </w:t>
      </w:r>
      <w:r w:rsidRPr="00A81E76">
        <w:rPr>
          <w:rFonts w:ascii="Perpetua" w:eastAsia="Calibri" w:hAnsi="Perpetua" w:cs="Times New Roman"/>
          <w:kern w:val="2"/>
          <w:sz w:val="20"/>
          <w:szCs w:val="20"/>
          <w14:ligatures w14:val="standardContextual"/>
        </w:rPr>
        <w:t>(Downers Grove: InterVarsity Press, 2011), 21-24 (chapter 1) and 27-29 (chapter 2).</w:t>
      </w:r>
    </w:p>
    <w:p w14:paraId="09868852" w14:textId="77777777" w:rsidR="00A81E76" w:rsidRPr="00A81E76" w:rsidRDefault="00A81E76" w:rsidP="00A81E76">
      <w:pPr>
        <w:spacing w:after="0" w:line="240" w:lineRule="auto"/>
        <w:jc w:val="both"/>
        <w:rPr>
          <w:rFonts w:ascii="Perpetua" w:eastAsia="Calibri" w:hAnsi="Perpetua" w:cs="Times New Roman"/>
          <w:b/>
          <w:bCs/>
          <w:kern w:val="2"/>
          <w:sz w:val="20"/>
          <w:szCs w:val="20"/>
          <w14:ligatures w14:val="standardContextual"/>
        </w:rPr>
      </w:pPr>
    </w:p>
    <w:p w14:paraId="09286EA2" w14:textId="77777777" w:rsidR="00A81E76" w:rsidRPr="00A81E76" w:rsidRDefault="00A81E76" w:rsidP="00A81E76">
      <w:pPr>
        <w:spacing w:after="0" w:line="240" w:lineRule="auto"/>
        <w:jc w:val="both"/>
        <w:rPr>
          <w:rFonts w:ascii="Perpetua" w:eastAsia="Calibri" w:hAnsi="Perpetua" w:cs="Times New Roman"/>
          <w:b/>
          <w:bCs/>
          <w:kern w:val="2"/>
          <w:sz w:val="20"/>
          <w:szCs w:val="20"/>
          <w14:ligatures w14:val="standardContextual"/>
        </w:rPr>
      </w:pPr>
      <w:r w:rsidRPr="00A81E76">
        <w:rPr>
          <w:rFonts w:ascii="Perpetua" w:eastAsia="Calibri" w:hAnsi="Perpetua" w:cs="Times New Roman"/>
          <w:b/>
          <w:bCs/>
          <w:kern w:val="2"/>
          <w:sz w:val="20"/>
          <w:szCs w:val="20"/>
          <w14:ligatures w14:val="standardContextual"/>
        </w:rPr>
        <w:t xml:space="preserve">A boy is born named John Mark </w:t>
      </w:r>
      <w:r w:rsidRPr="00A81E76">
        <w:rPr>
          <w:rFonts w:ascii="Perpetua" w:eastAsia="Calibri" w:hAnsi="Perpetua" w:cs="Times New Roman"/>
          <w:kern w:val="2"/>
          <w:sz w:val="20"/>
          <w:szCs w:val="20"/>
          <w14:ligatures w14:val="standardContextual"/>
        </w:rPr>
        <w:t>(chapter 1)</w:t>
      </w:r>
    </w:p>
    <w:p w14:paraId="6F290335" w14:textId="77777777" w:rsidR="00A81E76" w:rsidRPr="00A81E76" w:rsidRDefault="00A81E76" w:rsidP="00A81E76">
      <w:pPr>
        <w:spacing w:after="0" w:line="240" w:lineRule="auto"/>
        <w:jc w:val="both"/>
        <w:rPr>
          <w:rFonts w:ascii="Perpetua" w:eastAsia="Calibri" w:hAnsi="Perpetua" w:cs="Times New Roman"/>
          <w:b/>
          <w:bCs/>
          <w:kern w:val="2"/>
          <w:sz w:val="20"/>
          <w:szCs w:val="20"/>
          <w14:ligatures w14:val="standardContextual"/>
        </w:rPr>
      </w:pPr>
    </w:p>
    <w:p w14:paraId="136CF79A" w14:textId="77777777" w:rsidR="00A81E76" w:rsidRPr="00A81E76" w:rsidRDefault="00A81E76" w:rsidP="00A81E76">
      <w:pPr>
        <w:spacing w:after="0" w:line="240" w:lineRule="auto"/>
        <w:jc w:val="both"/>
        <w:rPr>
          <w:rFonts w:ascii="Perpetua" w:eastAsia="Calibri" w:hAnsi="Perpetua" w:cs="Times New Roman"/>
          <w:kern w:val="2"/>
          <w:sz w:val="20"/>
          <w:szCs w:val="20"/>
          <w14:ligatures w14:val="standardContextual"/>
        </w:rPr>
      </w:pPr>
      <w:r w:rsidRPr="00A81E76">
        <w:rPr>
          <w:rFonts w:ascii="Perpetua" w:eastAsia="Calibri" w:hAnsi="Perpetua" w:cs="Times New Roman"/>
          <w:kern w:val="2"/>
          <w:sz w:val="20"/>
          <w:szCs w:val="20"/>
          <w14:ligatures w14:val="standardContextual"/>
        </w:rPr>
        <w:t>Around the beginning of the new millennium (early first century a.d.) a boy was born to a Jewish family of Cyrene. His father’s name was Aristopolus (or variously Aristobulus, Aristobolus, Aristo-Paulus), and his mother’s name was Mary. They were of the tribe of Levi. Closely adherent to Jewish customs, they returned to Jerusalem, if possible, several times a year for seasonal feasts. The boy’s name signaled his multicultural family background. It was John Mark. That name brought together a Hebrew name (John) with a Latin name (Mark, variously Marcus, Marcos). When wars, pillaging and civil disturbances came to Cyrene early in the first century, this boy’s family was forced by encroaching marauders to move from Africa to Palestine.</w:t>
      </w:r>
    </w:p>
    <w:p w14:paraId="56637F6C" w14:textId="77777777" w:rsidR="00A81E76" w:rsidRPr="00A81E76" w:rsidRDefault="00A81E76" w:rsidP="00A81E76">
      <w:pPr>
        <w:spacing w:after="0" w:line="240" w:lineRule="auto"/>
        <w:ind w:firstLine="432"/>
        <w:jc w:val="both"/>
        <w:rPr>
          <w:rFonts w:ascii="Perpetua" w:eastAsia="Calibri" w:hAnsi="Perpetua" w:cs="Times New Roman"/>
          <w:kern w:val="2"/>
          <w:sz w:val="20"/>
          <w:szCs w:val="20"/>
          <w14:ligatures w14:val="standardContextual"/>
        </w:rPr>
      </w:pPr>
      <w:r w:rsidRPr="00A81E76">
        <w:rPr>
          <w:rFonts w:ascii="Perpetua" w:eastAsia="Calibri" w:hAnsi="Perpetua" w:cs="Times New Roman"/>
          <w:kern w:val="2"/>
          <w:sz w:val="20"/>
          <w:szCs w:val="20"/>
          <w14:ligatures w14:val="standardContextual"/>
        </w:rPr>
        <w:t>We hear of Mark next in Jerusalem, where his mother had access to a spacious place of residence (Acts 12:12), possibly with an upper room as African memory understands, the same upper room as noted in Mark 14:15 and Acts 1:13. As a young man, Mark and his mother joined the followers of Jesus. They became a part of a culture-transforming movement within Judaism. Later Mark would be the first among the disciples to write the good news of the coming of this incomparable person who changed his life entirely. Mark’s story about Jesus became the oldest of all the surviving written efforts to tell non-Jews of the good news of the beginning of Christianity. Mark became the pattern for all subsequent reports of the history of Jesus.</w:t>
      </w:r>
      <w:r w:rsidRPr="00A81E76">
        <w:rPr>
          <w:rFonts w:ascii="Perpetua" w:eastAsia="Calibri" w:hAnsi="Perpetua" w:cs="Times New Roman"/>
          <w:kern w:val="2"/>
          <w:sz w:val="20"/>
          <w:szCs w:val="20"/>
          <w:vertAlign w:val="superscript"/>
          <w14:ligatures w14:val="standardContextual"/>
        </w:rPr>
        <w:footnoteReference w:id="7"/>
      </w:r>
    </w:p>
    <w:p w14:paraId="421C4014" w14:textId="77777777" w:rsidR="00A81E76" w:rsidRPr="00A81E76" w:rsidRDefault="00A81E76" w:rsidP="00A81E76">
      <w:pPr>
        <w:spacing w:after="0" w:line="240" w:lineRule="auto"/>
        <w:ind w:firstLine="432"/>
        <w:jc w:val="both"/>
        <w:rPr>
          <w:rFonts w:ascii="Perpetua" w:eastAsia="Calibri" w:hAnsi="Perpetua" w:cs="Times New Roman"/>
          <w:kern w:val="2"/>
          <w:sz w:val="20"/>
          <w:szCs w:val="20"/>
          <w14:ligatures w14:val="standardContextual"/>
        </w:rPr>
      </w:pPr>
      <w:r w:rsidRPr="00A81E76">
        <w:rPr>
          <w:rFonts w:ascii="Perpetua" w:eastAsia="Calibri" w:hAnsi="Perpetua" w:cs="Times New Roman"/>
          <w:kern w:val="2"/>
          <w:sz w:val="20"/>
          <w:szCs w:val="20"/>
          <w14:ligatures w14:val="standardContextual"/>
        </w:rPr>
        <w:t xml:space="preserve">This boy who grew up in Africa was also remembered as the first one to take the good news of Jesus, Son of God, back to Africa. This is why he is so much loved and honored by Christians in Africa today. I want to retell this story just as it has been told over centuries on the African continent—how John Mark, according to these traditions, came from and returned to Africa to become the first person sent by Jesus’ followers to teach firsthand of Christianity on the African continent. This story will clarify how and why this boy became proficient in several languages, and how those gifts and cultural experiences shaped his calling to return to Africa. John Mark’s mother would be chosen by Jesus himself to offer hospitality to the earliest disciples. Mark’s life would end in the most populous city of Africa: Alexandria on the coast of the Nile delta. Out of this city, the most influential intellectual center of the whole </w:t>
      </w:r>
      <w:r w:rsidRPr="00A81E76">
        <w:rPr>
          <w:rFonts w:ascii="Perpetua" w:eastAsia="Calibri" w:hAnsi="Perpetua" w:cs="Times New Roman"/>
          <w:kern w:val="2"/>
          <w:sz w:val="20"/>
          <w:szCs w:val="20"/>
          <w14:ligatures w14:val="standardContextual"/>
        </w:rPr>
        <w:lastRenderedPageBreak/>
        <w:t>Mediterranean world, came the first Christian school. It was a catechetical school, designed to communicate the gospel to the world. Its distinctive learning process, from apostolic texts and in dialogue with culture, was born in Africa. Out of Mark’s life and death came an enduring gift to all early Christians: the emergence of African Christianity.</w:t>
      </w:r>
    </w:p>
    <w:p w14:paraId="50D3240B" w14:textId="77777777" w:rsidR="00A81E76" w:rsidRPr="00A81E76" w:rsidRDefault="00A81E76" w:rsidP="00A81E76">
      <w:pPr>
        <w:spacing w:after="0" w:line="240" w:lineRule="auto"/>
        <w:jc w:val="both"/>
        <w:rPr>
          <w:rFonts w:ascii="Perpetua" w:eastAsia="Calibri" w:hAnsi="Perpetua" w:cs="Times New Roman"/>
          <w:kern w:val="2"/>
          <w:sz w:val="20"/>
          <w:szCs w:val="20"/>
          <w14:ligatures w14:val="standardContextual"/>
        </w:rPr>
      </w:pPr>
    </w:p>
    <w:p w14:paraId="4F1A9F99" w14:textId="77777777" w:rsidR="00A81E76" w:rsidRPr="00A81E76" w:rsidRDefault="00A81E76" w:rsidP="00A81E76">
      <w:pPr>
        <w:spacing w:after="0" w:line="240" w:lineRule="auto"/>
        <w:jc w:val="both"/>
        <w:rPr>
          <w:rFonts w:ascii="Perpetua" w:eastAsia="Calibri" w:hAnsi="Perpetua" w:cs="Times New Roman"/>
          <w:b/>
          <w:bCs/>
          <w:kern w:val="2"/>
          <w:sz w:val="20"/>
          <w:szCs w:val="20"/>
          <w14:ligatures w14:val="standardContextual"/>
        </w:rPr>
      </w:pPr>
      <w:r w:rsidRPr="00A81E76">
        <w:rPr>
          <w:rFonts w:ascii="Perpetua" w:eastAsia="Calibri" w:hAnsi="Perpetua" w:cs="Times New Roman"/>
          <w:b/>
          <w:bCs/>
          <w:kern w:val="2"/>
          <w:sz w:val="20"/>
          <w:szCs w:val="20"/>
          <w14:ligatures w14:val="standardContextual"/>
        </w:rPr>
        <w:t>Some differences between African and western perceptions of Mark</w:t>
      </w:r>
    </w:p>
    <w:p w14:paraId="4B69961C" w14:textId="77777777" w:rsidR="00A81E76" w:rsidRPr="00A81E76" w:rsidRDefault="00A81E76" w:rsidP="00A81E76">
      <w:pPr>
        <w:spacing w:after="0" w:line="240" w:lineRule="auto"/>
        <w:jc w:val="both"/>
        <w:rPr>
          <w:rFonts w:ascii="Perpetua" w:eastAsia="Calibri" w:hAnsi="Perpetua" w:cs="Times New Roman"/>
          <w:kern w:val="2"/>
          <w:sz w:val="20"/>
          <w:szCs w:val="20"/>
          <w14:ligatures w14:val="standardContextual"/>
        </w:rPr>
      </w:pPr>
    </w:p>
    <w:p w14:paraId="2CB08EBC" w14:textId="77777777" w:rsidR="00A81E76" w:rsidRPr="00A81E76" w:rsidRDefault="00A81E76" w:rsidP="00A81E76">
      <w:pPr>
        <w:spacing w:after="0" w:line="240" w:lineRule="auto"/>
        <w:jc w:val="both"/>
        <w:rPr>
          <w:rFonts w:ascii="Perpetua" w:eastAsia="Calibri" w:hAnsi="Perpetua" w:cs="Times New Roman"/>
          <w:kern w:val="2"/>
          <w:sz w:val="20"/>
          <w:szCs w:val="20"/>
          <w14:ligatures w14:val="standardContextual"/>
        </w:rPr>
      </w:pPr>
      <w:r w:rsidRPr="00A81E76">
        <w:rPr>
          <w:rFonts w:ascii="Perpetua" w:eastAsia="Calibri" w:hAnsi="Perpetua" w:cs="Times New Roman"/>
          <w:kern w:val="2"/>
          <w:sz w:val="20"/>
          <w:szCs w:val="20"/>
          <w14:ligatures w14:val="standardContextual"/>
        </w:rPr>
        <w:t>While the African memory, as we will see, holds that Mark was born in Cyrene and died in Alexandria, the rest of the world has seldom listened. Despite the neglect, African memory is beginning to be reread and reconsidered. Meanwhile ordinary African Christians hold Mark close to their hearts as one of their very own—as the first witness to Christian faith in Africa. Western scholars have tended to treat Mark as one who shows up frequently throughout the New Testament but is probably Palestinian in origin, and almost never regarded as African. The problem: African popular memory of Mark is very different from the Western memory. The African narrative is often pigeonholed as unsupported by reliable textual evidence and thought to be naive, since accompanied by miracles, dreams and visions.</w:t>
      </w:r>
    </w:p>
    <w:p w14:paraId="0C607E9E" w14:textId="77777777" w:rsidR="00A81E76" w:rsidRPr="00A81E76" w:rsidRDefault="00A81E76" w:rsidP="00A81E76">
      <w:pPr>
        <w:spacing w:after="0" w:line="240" w:lineRule="auto"/>
        <w:ind w:firstLine="432"/>
        <w:jc w:val="both"/>
        <w:rPr>
          <w:rFonts w:ascii="Perpetua" w:eastAsia="Calibri" w:hAnsi="Perpetua" w:cs="Times New Roman"/>
          <w:kern w:val="2"/>
          <w:sz w:val="20"/>
          <w:szCs w:val="20"/>
          <w14:ligatures w14:val="standardContextual"/>
        </w:rPr>
      </w:pPr>
      <w:r w:rsidRPr="00A81E76">
        <w:rPr>
          <w:rFonts w:ascii="Perpetua" w:eastAsia="Calibri" w:hAnsi="Perpetua" w:cs="Times New Roman"/>
          <w:kern w:val="2"/>
          <w:sz w:val="20"/>
          <w:szCs w:val="20"/>
          <w14:ligatures w14:val="standardContextual"/>
        </w:rPr>
        <w:t>It deserves to be read as what it is: the story of a saint.</w:t>
      </w:r>
      <w:r w:rsidRPr="00A81E76">
        <w:rPr>
          <w:rFonts w:ascii="Perpetua" w:eastAsia="Calibri" w:hAnsi="Perpetua" w:cs="Times New Roman"/>
          <w:kern w:val="2"/>
          <w:sz w:val="20"/>
          <w:szCs w:val="20"/>
          <w:vertAlign w:val="superscript"/>
          <w14:ligatures w14:val="standardContextual"/>
        </w:rPr>
        <w:footnoteReference w:id="8"/>
      </w:r>
      <w:r w:rsidRPr="00A81E76">
        <w:rPr>
          <w:rFonts w:ascii="Perpetua" w:eastAsia="Calibri" w:hAnsi="Perpetua" w:cs="Times New Roman"/>
          <w:kern w:val="2"/>
          <w:sz w:val="20"/>
          <w:szCs w:val="20"/>
          <w14:ligatures w14:val="standardContextual"/>
        </w:rPr>
        <w:t xml:space="preserve"> It asks to be read through the eyes of those who conveyed it, not through modern eyes alone. This is a different genre than that of much modern historical inquiry. The reading of this genre of literature requires what Paul Ricoeur calls a “second naiveté”</w:t>
      </w:r>
      <w:r w:rsidRPr="00A81E76">
        <w:rPr>
          <w:rFonts w:ascii="Perpetua" w:eastAsia="Calibri" w:hAnsi="Perpetua" w:cs="Times New Roman"/>
          <w:kern w:val="2"/>
          <w:sz w:val="20"/>
          <w:szCs w:val="20"/>
          <w:vertAlign w:val="superscript"/>
          <w14:ligatures w14:val="standardContextual"/>
        </w:rPr>
        <w:footnoteReference w:id="9"/>
      </w:r>
      <w:r w:rsidRPr="00A81E76">
        <w:rPr>
          <w:rFonts w:ascii="Perpetua" w:eastAsia="Calibri" w:hAnsi="Perpetua" w:cs="Times New Roman"/>
          <w:kern w:val="2"/>
          <w:sz w:val="20"/>
          <w:szCs w:val="20"/>
          <w14:ligatures w14:val="standardContextual"/>
        </w:rPr>
        <w:t>—second in the sense that the reader has been disillusioned by modernity from the first stage of naiveté where belief was the source of immense energy. Having been obscured through empirical criticism, it is being rediscovered.</w:t>
      </w:r>
    </w:p>
    <w:p w14:paraId="6CE62F57" w14:textId="77777777" w:rsidR="00A81E76" w:rsidRPr="00A81E76" w:rsidRDefault="00A81E76" w:rsidP="00A81E76">
      <w:pPr>
        <w:spacing w:after="0" w:line="240" w:lineRule="auto"/>
        <w:ind w:firstLine="432"/>
        <w:jc w:val="both"/>
        <w:rPr>
          <w:rFonts w:ascii="Perpetua" w:eastAsia="Calibri" w:hAnsi="Perpetua" w:cs="Times New Roman"/>
          <w:kern w:val="2"/>
          <w:sz w:val="20"/>
          <w:szCs w:val="20"/>
          <w14:ligatures w14:val="standardContextual"/>
        </w:rPr>
      </w:pPr>
      <w:r w:rsidRPr="00A81E76">
        <w:rPr>
          <w:rFonts w:ascii="Perpetua" w:eastAsia="Calibri" w:hAnsi="Perpetua" w:cs="Times New Roman"/>
          <w:kern w:val="2"/>
          <w:sz w:val="20"/>
          <w:szCs w:val="20"/>
          <w14:ligatures w14:val="standardContextual"/>
        </w:rPr>
        <w:t>The birthplace and martyrdom of Mark the apostle provides a stunning case in point where there are stark differences between European and African perceptions of both the data and the interpretation of the documents. If the outcome of this inquiry turns out to be a bit contentious at points, it hopes to be stimulating for the right reasons and with guarded positive results.</w:t>
      </w:r>
    </w:p>
    <w:p w14:paraId="55B3026F" w14:textId="77777777" w:rsidR="00A81E76" w:rsidRPr="00A81E76" w:rsidRDefault="00A81E76" w:rsidP="00A81E76">
      <w:pPr>
        <w:spacing w:after="0" w:line="240" w:lineRule="auto"/>
        <w:ind w:firstLine="432"/>
        <w:jc w:val="both"/>
        <w:rPr>
          <w:rFonts w:ascii="Perpetua" w:eastAsia="Calibri" w:hAnsi="Perpetua" w:cs="Times New Roman"/>
          <w:kern w:val="2"/>
          <w:sz w:val="20"/>
          <w:szCs w:val="20"/>
          <w14:ligatures w14:val="standardContextual"/>
        </w:rPr>
      </w:pPr>
      <w:r w:rsidRPr="00A81E76">
        <w:rPr>
          <w:rFonts w:ascii="Perpetua" w:eastAsia="Calibri" w:hAnsi="Perpetua" w:cs="Times New Roman"/>
          <w:kern w:val="2"/>
          <w:sz w:val="20"/>
          <w:szCs w:val="20"/>
          <w14:ligatures w14:val="standardContextual"/>
        </w:rPr>
        <w:t>My first task is to clarify specifically what I mean by African memory.</w:t>
      </w:r>
    </w:p>
    <w:p w14:paraId="4F713078" w14:textId="77777777" w:rsidR="00A81E76" w:rsidRPr="00A81E76" w:rsidRDefault="00A81E76" w:rsidP="00A81E76">
      <w:pPr>
        <w:spacing w:after="0" w:line="240" w:lineRule="auto"/>
        <w:jc w:val="both"/>
        <w:rPr>
          <w:rFonts w:ascii="Perpetua" w:eastAsia="Calibri" w:hAnsi="Perpetua" w:cs="Times New Roman"/>
          <w:kern w:val="2"/>
          <w:sz w:val="20"/>
          <w:szCs w:val="20"/>
          <w14:ligatures w14:val="standardContextual"/>
        </w:rPr>
      </w:pPr>
      <w:r w:rsidRPr="00A81E76">
        <w:rPr>
          <w:rFonts w:ascii="Perpetua" w:eastAsia="Calibri" w:hAnsi="Perpetua" w:cs="Times New Roman"/>
          <w:kern w:val="2"/>
          <w:sz w:val="20"/>
          <w:szCs w:val="20"/>
          <w14:ligatures w14:val="standardContextual"/>
        </w:rPr>
        <w:t xml:space="preserve"> </w:t>
      </w:r>
    </w:p>
    <w:p w14:paraId="4133ACB3" w14:textId="77777777" w:rsidR="00A81E76" w:rsidRDefault="00A81E76" w:rsidP="00A81E76">
      <w:pPr>
        <w:spacing w:after="0" w:line="240" w:lineRule="auto"/>
        <w:jc w:val="both"/>
        <w:rPr>
          <w:rFonts w:ascii="Perpetua" w:eastAsia="Calibri" w:hAnsi="Perpetua" w:cs="Times New Roman"/>
          <w:b/>
          <w:bCs/>
          <w:kern w:val="2"/>
          <w:sz w:val="20"/>
          <w:szCs w:val="20"/>
          <w14:ligatures w14:val="standardContextual"/>
        </w:rPr>
      </w:pPr>
    </w:p>
    <w:p w14:paraId="445D44C2" w14:textId="7E73F2B9" w:rsidR="00A81E76" w:rsidRPr="00A81E76" w:rsidRDefault="00A81E76" w:rsidP="00A81E76">
      <w:pPr>
        <w:spacing w:after="0" w:line="240" w:lineRule="auto"/>
        <w:jc w:val="both"/>
        <w:rPr>
          <w:rFonts w:ascii="Perpetua" w:eastAsia="Calibri" w:hAnsi="Perpetua" w:cs="Times New Roman"/>
          <w:b/>
          <w:bCs/>
          <w:kern w:val="2"/>
          <w:sz w:val="20"/>
          <w:szCs w:val="20"/>
          <w14:ligatures w14:val="standardContextual"/>
        </w:rPr>
      </w:pPr>
      <w:r w:rsidRPr="00A81E76">
        <w:rPr>
          <w:rFonts w:ascii="Perpetua" w:eastAsia="Calibri" w:hAnsi="Perpetua" w:cs="Times New Roman"/>
          <w:b/>
          <w:bCs/>
          <w:kern w:val="2"/>
          <w:sz w:val="20"/>
          <w:szCs w:val="20"/>
          <w14:ligatures w14:val="standardContextual"/>
        </w:rPr>
        <w:lastRenderedPageBreak/>
        <w:t xml:space="preserve">Defining African Memory </w:t>
      </w:r>
      <w:r w:rsidRPr="00A81E76">
        <w:rPr>
          <w:rFonts w:ascii="Perpetua" w:eastAsia="Calibri" w:hAnsi="Perpetua" w:cs="Times New Roman"/>
          <w:kern w:val="2"/>
          <w:sz w:val="20"/>
          <w:szCs w:val="20"/>
          <w14:ligatures w14:val="standardContextual"/>
        </w:rPr>
        <w:t>(chapter 2)</w:t>
      </w:r>
    </w:p>
    <w:p w14:paraId="4923A629" w14:textId="77777777" w:rsidR="00A81E76" w:rsidRPr="00A81E76" w:rsidRDefault="00A81E76" w:rsidP="00A81E76">
      <w:pPr>
        <w:spacing w:after="0" w:line="240" w:lineRule="auto"/>
        <w:jc w:val="both"/>
        <w:rPr>
          <w:rFonts w:ascii="Perpetua" w:eastAsia="Calibri" w:hAnsi="Perpetua" w:cs="Times New Roman"/>
          <w:kern w:val="2"/>
          <w:sz w:val="20"/>
          <w:szCs w:val="20"/>
          <w14:ligatures w14:val="standardContextual"/>
        </w:rPr>
      </w:pPr>
    </w:p>
    <w:p w14:paraId="77AA4B02" w14:textId="77777777" w:rsidR="00A81E76" w:rsidRPr="00A81E76" w:rsidRDefault="00A81E76" w:rsidP="00A81E76">
      <w:pPr>
        <w:spacing w:after="0" w:line="240" w:lineRule="auto"/>
        <w:jc w:val="both"/>
        <w:rPr>
          <w:rFonts w:ascii="Perpetua" w:eastAsia="Calibri" w:hAnsi="Perpetua" w:cs="Times New Roman"/>
          <w:kern w:val="2"/>
          <w:sz w:val="20"/>
          <w:szCs w:val="20"/>
          <w14:ligatures w14:val="standardContextual"/>
        </w:rPr>
      </w:pPr>
      <w:r w:rsidRPr="00A81E76">
        <w:rPr>
          <w:rFonts w:ascii="Perpetua" w:eastAsia="Calibri" w:hAnsi="Perpetua" w:cs="Times New Roman"/>
          <w:kern w:val="2"/>
          <w:sz w:val="20"/>
          <w:szCs w:val="20"/>
          <w14:ligatures w14:val="standardContextual"/>
        </w:rPr>
        <w:t>What do I mean by the term African memory? The African memory is the characteristic way of looking at history from within the special experience and outlook of the continent of Africa. Memory does not here refer to the contemporary African memory alone, but to a two-thousand-year-long history of a way of remembering. It is memorable because it embraces a long-shared tradition of intellectual vitality. This tradition has borne extensive literary fruits over many centuries. It has produced an astonishing history of textual output. It has a literary history that has had decisive effects upon subsequent human history. It is how Africans, taken as a whole, have historically viewed events and persons, and how they still characteristically remember them.</w:t>
      </w:r>
      <w:r w:rsidRPr="00A81E76">
        <w:rPr>
          <w:rFonts w:ascii="Perpetua" w:eastAsia="Calibri" w:hAnsi="Perpetua" w:cs="Times New Roman"/>
          <w:kern w:val="2"/>
          <w:sz w:val="20"/>
          <w:szCs w:val="20"/>
          <w:vertAlign w:val="superscript"/>
          <w14:ligatures w14:val="standardContextual"/>
        </w:rPr>
        <w:footnoteReference w:id="10"/>
      </w:r>
      <w:r w:rsidRPr="00A81E76">
        <w:rPr>
          <w:rFonts w:ascii="Perpetua" w:eastAsia="Calibri" w:hAnsi="Perpetua" w:cs="Times New Roman"/>
          <w:kern w:val="2"/>
          <w:sz w:val="20"/>
          <w:szCs w:val="20"/>
          <w14:ligatures w14:val="standardContextual"/>
        </w:rPr>
        <w:t xml:space="preserve"> To qualify under the rubric of “African memory,” an alleged event must have these characteristics:</w:t>
      </w:r>
    </w:p>
    <w:p w14:paraId="5B0C7CF1" w14:textId="77777777" w:rsidR="00A81E76" w:rsidRPr="00A81E76" w:rsidRDefault="00A81E76" w:rsidP="00A81E76">
      <w:pPr>
        <w:numPr>
          <w:ilvl w:val="0"/>
          <w:numId w:val="3"/>
        </w:numPr>
        <w:spacing w:after="0" w:line="240" w:lineRule="auto"/>
        <w:contextualSpacing/>
        <w:jc w:val="both"/>
        <w:rPr>
          <w:rFonts w:ascii="Perpetua" w:eastAsia="Calibri" w:hAnsi="Perpetua" w:cs="Times New Roman"/>
          <w:kern w:val="2"/>
          <w:sz w:val="20"/>
          <w:szCs w:val="20"/>
          <w14:ligatures w14:val="standardContextual"/>
        </w:rPr>
      </w:pPr>
      <w:r w:rsidRPr="00A81E76">
        <w:rPr>
          <w:rFonts w:ascii="Perpetua" w:eastAsia="Calibri" w:hAnsi="Perpetua" w:cs="Times New Roman"/>
          <w:kern w:val="2"/>
          <w:sz w:val="20"/>
          <w:szCs w:val="20"/>
          <w14:ligatures w14:val="standardContextual"/>
        </w:rPr>
        <w:t>The event has been commonly remembered on the continent of Africa</w:t>
      </w:r>
    </w:p>
    <w:p w14:paraId="09221514" w14:textId="77777777" w:rsidR="00A81E76" w:rsidRPr="00A81E76" w:rsidRDefault="00A81E76" w:rsidP="00A81E76">
      <w:pPr>
        <w:numPr>
          <w:ilvl w:val="0"/>
          <w:numId w:val="3"/>
        </w:numPr>
        <w:spacing w:after="0" w:line="240" w:lineRule="auto"/>
        <w:contextualSpacing/>
        <w:jc w:val="both"/>
        <w:rPr>
          <w:rFonts w:ascii="Perpetua" w:eastAsia="Calibri" w:hAnsi="Perpetua" w:cs="Times New Roman"/>
          <w:kern w:val="2"/>
          <w:sz w:val="20"/>
          <w:szCs w:val="20"/>
          <w14:ligatures w14:val="standardContextual"/>
        </w:rPr>
      </w:pPr>
      <w:r w:rsidRPr="00A81E76">
        <w:rPr>
          <w:rFonts w:ascii="Perpetua" w:eastAsia="Calibri" w:hAnsi="Perpetua" w:cs="Times New Roman"/>
          <w:kern w:val="2"/>
          <w:sz w:val="20"/>
          <w:szCs w:val="20"/>
          <w14:ligatures w14:val="standardContextual"/>
        </w:rPr>
        <w:t>The event is remembered in the same or very similar ways</w:t>
      </w:r>
    </w:p>
    <w:p w14:paraId="7B8F467A" w14:textId="77777777" w:rsidR="00A81E76" w:rsidRPr="00A81E76" w:rsidRDefault="00A81E76" w:rsidP="00A81E76">
      <w:pPr>
        <w:numPr>
          <w:ilvl w:val="0"/>
          <w:numId w:val="3"/>
        </w:numPr>
        <w:spacing w:after="0" w:line="240" w:lineRule="auto"/>
        <w:contextualSpacing/>
        <w:jc w:val="both"/>
        <w:rPr>
          <w:rFonts w:ascii="Perpetua" w:eastAsia="Calibri" w:hAnsi="Perpetua" w:cs="Times New Roman"/>
          <w:kern w:val="2"/>
          <w:sz w:val="20"/>
          <w:szCs w:val="20"/>
          <w14:ligatures w14:val="standardContextual"/>
        </w:rPr>
      </w:pPr>
      <w:r w:rsidRPr="00A81E76">
        <w:rPr>
          <w:rFonts w:ascii="Perpetua" w:eastAsia="Calibri" w:hAnsi="Perpetua" w:cs="Times New Roman"/>
          <w:kern w:val="2"/>
          <w:sz w:val="20"/>
          <w:szCs w:val="20"/>
          <w14:ligatures w14:val="standardContextual"/>
        </w:rPr>
        <w:t>Consent to the event is uncoerced</w:t>
      </w:r>
    </w:p>
    <w:p w14:paraId="428FA896" w14:textId="77777777" w:rsidR="00A81E76" w:rsidRPr="00A81E76" w:rsidRDefault="00A81E76" w:rsidP="00A81E76">
      <w:pPr>
        <w:numPr>
          <w:ilvl w:val="0"/>
          <w:numId w:val="3"/>
        </w:numPr>
        <w:spacing w:after="0" w:line="240" w:lineRule="auto"/>
        <w:contextualSpacing/>
        <w:jc w:val="both"/>
        <w:rPr>
          <w:rFonts w:ascii="Perpetua" w:eastAsia="Calibri" w:hAnsi="Perpetua" w:cs="Times New Roman"/>
          <w:kern w:val="2"/>
          <w:sz w:val="20"/>
          <w:szCs w:val="20"/>
          <w14:ligatures w14:val="standardContextual"/>
        </w:rPr>
      </w:pPr>
      <w:r w:rsidRPr="00A81E76">
        <w:rPr>
          <w:rFonts w:ascii="Perpetua" w:eastAsia="Calibri" w:hAnsi="Perpetua" w:cs="Times New Roman"/>
          <w:kern w:val="2"/>
          <w:sz w:val="20"/>
          <w:szCs w:val="20"/>
          <w14:ligatures w14:val="standardContextual"/>
        </w:rPr>
        <w:t>The event has been remembered over many generations of Africans</w:t>
      </w:r>
    </w:p>
    <w:p w14:paraId="1C435C7C" w14:textId="77777777" w:rsidR="00A81E76" w:rsidRPr="00A81E76" w:rsidRDefault="00A81E76" w:rsidP="00A81E76">
      <w:pPr>
        <w:numPr>
          <w:ilvl w:val="0"/>
          <w:numId w:val="3"/>
        </w:numPr>
        <w:spacing w:after="0" w:line="240" w:lineRule="auto"/>
        <w:contextualSpacing/>
        <w:jc w:val="both"/>
        <w:rPr>
          <w:rFonts w:ascii="Perpetua" w:eastAsia="Calibri" w:hAnsi="Perpetua" w:cs="Times New Roman"/>
          <w:kern w:val="2"/>
          <w:sz w:val="20"/>
          <w:szCs w:val="20"/>
          <w14:ligatures w14:val="standardContextual"/>
        </w:rPr>
      </w:pPr>
      <w:r w:rsidRPr="00A81E76">
        <w:rPr>
          <w:rFonts w:ascii="Perpetua" w:eastAsia="Calibri" w:hAnsi="Perpetua" w:cs="Times New Roman"/>
          <w:kern w:val="2"/>
          <w:sz w:val="20"/>
          <w:szCs w:val="20"/>
          <w14:ligatures w14:val="standardContextual"/>
        </w:rPr>
        <w:t>The narratives of the event have been told in many of the indigenous languages of the African continent</w:t>
      </w:r>
    </w:p>
    <w:p w14:paraId="5F3FBA4A" w14:textId="77777777" w:rsidR="00A81E76" w:rsidRPr="00A81E76" w:rsidRDefault="00A81E76" w:rsidP="00A81E76">
      <w:pPr>
        <w:spacing w:after="0" w:line="240" w:lineRule="auto"/>
        <w:jc w:val="both"/>
        <w:rPr>
          <w:rFonts w:ascii="Perpetua" w:eastAsia="Calibri" w:hAnsi="Perpetua" w:cs="Times New Roman"/>
          <w:kern w:val="2"/>
          <w:sz w:val="20"/>
          <w:szCs w:val="20"/>
          <w14:ligatures w14:val="standardContextual"/>
        </w:rPr>
      </w:pPr>
      <w:r w:rsidRPr="00A81E76">
        <w:rPr>
          <w:rFonts w:ascii="Perpetua" w:eastAsia="Calibri" w:hAnsi="Perpetua" w:cs="Times New Roman"/>
          <w:kern w:val="2"/>
          <w:sz w:val="20"/>
          <w:szCs w:val="20"/>
          <w14:ligatures w14:val="standardContextual"/>
        </w:rPr>
        <w:t>In the case of the African identity of Mark, his birth, life and death in Africa have been:</w:t>
      </w:r>
    </w:p>
    <w:p w14:paraId="2ADAA065" w14:textId="77777777" w:rsidR="00A81E76" w:rsidRPr="00A81E76" w:rsidRDefault="00A81E76" w:rsidP="00A81E76">
      <w:pPr>
        <w:numPr>
          <w:ilvl w:val="0"/>
          <w:numId w:val="3"/>
        </w:numPr>
        <w:spacing w:after="0" w:line="240" w:lineRule="auto"/>
        <w:contextualSpacing/>
        <w:jc w:val="both"/>
        <w:rPr>
          <w:rFonts w:ascii="Perpetua" w:eastAsia="Calibri" w:hAnsi="Perpetua" w:cs="Times New Roman"/>
          <w:kern w:val="2"/>
          <w:sz w:val="20"/>
          <w:szCs w:val="20"/>
          <w14:ligatures w14:val="standardContextual"/>
        </w:rPr>
      </w:pPr>
      <w:r w:rsidRPr="00A81E76">
        <w:rPr>
          <w:rFonts w:ascii="Perpetua" w:eastAsia="Calibri" w:hAnsi="Perpetua" w:cs="Times New Roman"/>
          <w:kern w:val="2"/>
          <w:sz w:val="20"/>
          <w:szCs w:val="20"/>
          <w14:ligatures w14:val="standardContextual"/>
        </w:rPr>
        <w:t>Well known and the story retold in every part of the African continent</w:t>
      </w:r>
    </w:p>
    <w:p w14:paraId="204811AB" w14:textId="77777777" w:rsidR="00A81E76" w:rsidRPr="00A81E76" w:rsidRDefault="00A81E76" w:rsidP="00A81E76">
      <w:pPr>
        <w:numPr>
          <w:ilvl w:val="0"/>
          <w:numId w:val="3"/>
        </w:numPr>
        <w:spacing w:after="0" w:line="240" w:lineRule="auto"/>
        <w:contextualSpacing/>
        <w:jc w:val="both"/>
        <w:rPr>
          <w:rFonts w:ascii="Perpetua" w:eastAsia="Calibri" w:hAnsi="Perpetua" w:cs="Times New Roman"/>
          <w:kern w:val="2"/>
          <w:sz w:val="20"/>
          <w:szCs w:val="20"/>
          <w14:ligatures w14:val="standardContextual"/>
        </w:rPr>
      </w:pPr>
      <w:r w:rsidRPr="00A81E76">
        <w:rPr>
          <w:rFonts w:ascii="Perpetua" w:eastAsia="Calibri" w:hAnsi="Perpetua" w:cs="Times New Roman"/>
          <w:kern w:val="2"/>
          <w:sz w:val="20"/>
          <w:szCs w:val="20"/>
          <w14:ligatures w14:val="standardContextual"/>
        </w:rPr>
        <w:t>Remembered in a similar way with similar root sources</w:t>
      </w:r>
    </w:p>
    <w:p w14:paraId="07DA91D6" w14:textId="77777777" w:rsidR="00A81E76" w:rsidRPr="00A81E76" w:rsidRDefault="00A81E76" w:rsidP="00A81E76">
      <w:pPr>
        <w:numPr>
          <w:ilvl w:val="0"/>
          <w:numId w:val="3"/>
        </w:numPr>
        <w:spacing w:after="0" w:line="240" w:lineRule="auto"/>
        <w:contextualSpacing/>
        <w:jc w:val="both"/>
        <w:rPr>
          <w:rFonts w:ascii="Perpetua" w:eastAsia="Calibri" w:hAnsi="Perpetua" w:cs="Times New Roman"/>
          <w:kern w:val="2"/>
          <w:sz w:val="20"/>
          <w:szCs w:val="20"/>
          <w14:ligatures w14:val="standardContextual"/>
        </w:rPr>
      </w:pPr>
      <w:r w:rsidRPr="00A81E76">
        <w:rPr>
          <w:rFonts w:ascii="Perpetua" w:eastAsia="Calibri" w:hAnsi="Perpetua" w:cs="Times New Roman"/>
          <w:kern w:val="2"/>
          <w:sz w:val="20"/>
          <w:szCs w:val="20"/>
          <w14:ligatures w14:val="standardContextual"/>
        </w:rPr>
        <w:t>With full and free voluntary consent</w:t>
      </w:r>
    </w:p>
    <w:p w14:paraId="67196182" w14:textId="77777777" w:rsidR="00A81E76" w:rsidRPr="00A81E76" w:rsidRDefault="00A81E76" w:rsidP="00A81E76">
      <w:pPr>
        <w:numPr>
          <w:ilvl w:val="0"/>
          <w:numId w:val="3"/>
        </w:numPr>
        <w:spacing w:after="0" w:line="240" w:lineRule="auto"/>
        <w:contextualSpacing/>
        <w:jc w:val="both"/>
        <w:rPr>
          <w:rFonts w:ascii="Perpetua" w:eastAsia="Calibri" w:hAnsi="Perpetua" w:cs="Times New Roman"/>
          <w:kern w:val="2"/>
          <w:sz w:val="20"/>
          <w:szCs w:val="20"/>
          <w14:ligatures w14:val="standardContextual"/>
        </w:rPr>
      </w:pPr>
      <w:r w:rsidRPr="00A81E76">
        <w:rPr>
          <w:rFonts w:ascii="Perpetua" w:eastAsia="Calibri" w:hAnsi="Perpetua" w:cs="Times New Roman"/>
          <w:kern w:val="2"/>
          <w:sz w:val="20"/>
          <w:szCs w:val="20"/>
          <w14:ligatures w14:val="standardContextual"/>
        </w:rPr>
        <w:t>For nearly two thousand years, six centuries prior to Islam</w:t>
      </w:r>
    </w:p>
    <w:p w14:paraId="53BE9CDB" w14:textId="77777777" w:rsidR="00A81E76" w:rsidRPr="00A81E76" w:rsidRDefault="00A81E76" w:rsidP="00A81E76">
      <w:pPr>
        <w:numPr>
          <w:ilvl w:val="0"/>
          <w:numId w:val="3"/>
        </w:numPr>
        <w:spacing w:after="0" w:line="240" w:lineRule="auto"/>
        <w:contextualSpacing/>
        <w:jc w:val="both"/>
        <w:rPr>
          <w:rFonts w:ascii="Perpetua" w:eastAsia="Calibri" w:hAnsi="Perpetua" w:cs="Times New Roman"/>
          <w:kern w:val="2"/>
          <w:sz w:val="20"/>
          <w:szCs w:val="20"/>
          <w14:ligatures w14:val="standardContextual"/>
        </w:rPr>
      </w:pPr>
      <w:r w:rsidRPr="00A81E76">
        <w:rPr>
          <w:rFonts w:ascii="Perpetua" w:eastAsia="Calibri" w:hAnsi="Perpetua" w:cs="Times New Roman"/>
          <w:kern w:val="2"/>
          <w:sz w:val="20"/>
          <w:szCs w:val="20"/>
          <w14:ligatures w14:val="standardContextual"/>
        </w:rPr>
        <w:t>In virtually all of the major indigenous languages of Africa</w:t>
      </w:r>
      <w:r w:rsidRPr="00A81E76">
        <w:rPr>
          <w:rFonts w:ascii="Perpetua" w:eastAsia="Calibri" w:hAnsi="Perpetua" w:cs="Times New Roman"/>
          <w:kern w:val="2"/>
          <w:sz w:val="20"/>
          <w:szCs w:val="20"/>
          <w:vertAlign w:val="superscript"/>
          <w14:ligatures w14:val="standardContextual"/>
        </w:rPr>
        <w:footnoteReference w:id="11"/>
      </w:r>
    </w:p>
    <w:p w14:paraId="52945539" w14:textId="77777777" w:rsidR="00A81E76" w:rsidRPr="00A81E76" w:rsidRDefault="00A81E76" w:rsidP="00A81E76">
      <w:pPr>
        <w:spacing w:after="0" w:line="240" w:lineRule="auto"/>
        <w:jc w:val="both"/>
        <w:rPr>
          <w:rFonts w:ascii="Perpetua" w:eastAsia="Calibri" w:hAnsi="Perpetua" w:cs="Times New Roman"/>
          <w:kern w:val="2"/>
          <w:sz w:val="20"/>
          <w:szCs w:val="20"/>
          <w14:ligatures w14:val="standardContextual"/>
        </w:rPr>
      </w:pPr>
      <w:r w:rsidRPr="00A81E76">
        <w:rPr>
          <w:rFonts w:ascii="Perpetua" w:eastAsia="Calibri" w:hAnsi="Perpetua" w:cs="Times New Roman"/>
          <w:kern w:val="2"/>
          <w:sz w:val="20"/>
          <w:szCs w:val="20"/>
          <w14:ligatures w14:val="standardContextual"/>
        </w:rPr>
        <w:t>It takes both space and time to make a memory. This memory is identified in a succession of revered sacred and secular texts stretching out over many centuries, cultures and languages. Continent-wide African Christianity is best understood through this textual history that begins with Mark.</w:t>
      </w:r>
    </w:p>
    <w:p w14:paraId="1F96597B" w14:textId="77777777" w:rsidR="00A81E76" w:rsidRPr="00A81E76" w:rsidRDefault="00A81E76" w:rsidP="00A81E76">
      <w:pPr>
        <w:spacing w:after="0" w:line="240" w:lineRule="auto"/>
        <w:ind w:firstLine="432"/>
        <w:jc w:val="both"/>
        <w:rPr>
          <w:rFonts w:ascii="Perpetua" w:eastAsia="Calibri" w:hAnsi="Perpetua" w:cs="Times New Roman"/>
          <w:kern w:val="2"/>
          <w:sz w:val="20"/>
          <w:szCs w:val="20"/>
          <w14:ligatures w14:val="standardContextual"/>
        </w:rPr>
      </w:pPr>
      <w:r w:rsidRPr="00A81E76">
        <w:rPr>
          <w:rFonts w:ascii="Perpetua" w:eastAsia="Calibri" w:hAnsi="Perpetua" w:cs="Times New Roman"/>
          <w:kern w:val="2"/>
          <w:sz w:val="20"/>
          <w:szCs w:val="20"/>
          <w14:ligatures w14:val="standardContextual"/>
        </w:rPr>
        <w:t xml:space="preserve">The characteristic African memory of Mark is not vague or indefinite. It is concretized in known texts, long subject to critical examination and passionate expression: philosophical, liturgical, musical and moral. The chief sources of all these narratives of Mark, of course, are those texts of the New Testament that were written by or about Mark. The African narrative of Mark conforms to this canonical base text without overt revisions but with amplifications and applications. When I speak of “the </w:t>
      </w:r>
      <w:r w:rsidRPr="00A81E76">
        <w:rPr>
          <w:rFonts w:ascii="Perpetua" w:eastAsia="Calibri" w:hAnsi="Perpetua" w:cs="Times New Roman"/>
          <w:kern w:val="2"/>
          <w:sz w:val="20"/>
          <w:szCs w:val="20"/>
          <w14:ligatures w14:val="standardContextual"/>
        </w:rPr>
        <w:lastRenderedPageBreak/>
        <w:t>African narrative of Mark,” I am referring compositely to the melded picture of Mark derived from early African sources of the earliest Christian centuries.</w:t>
      </w:r>
    </w:p>
    <w:p w14:paraId="65F37B21" w14:textId="77777777" w:rsidR="00A81E76" w:rsidRPr="00A81E76" w:rsidRDefault="00A81E76" w:rsidP="00A81E76">
      <w:pPr>
        <w:spacing w:after="0" w:line="240" w:lineRule="auto"/>
        <w:ind w:firstLine="432"/>
        <w:jc w:val="both"/>
        <w:rPr>
          <w:rFonts w:ascii="Perpetua" w:eastAsia="Calibri" w:hAnsi="Perpetua" w:cs="Times New Roman"/>
          <w:kern w:val="2"/>
          <w:sz w:val="20"/>
          <w:szCs w:val="20"/>
          <w14:ligatures w14:val="standardContextual"/>
        </w:rPr>
      </w:pPr>
      <w:r w:rsidRPr="00A81E76">
        <w:rPr>
          <w:rFonts w:ascii="Perpetua" w:eastAsia="Calibri" w:hAnsi="Perpetua" w:cs="Times New Roman"/>
          <w:kern w:val="2"/>
          <w:sz w:val="20"/>
          <w:szCs w:val="20"/>
          <w14:ligatures w14:val="standardContextual"/>
        </w:rPr>
        <w:t xml:space="preserve">It includes the ancient liturgy of St. Mark and the primitive editions of the Synaxary, a calendar of recollections of saints. The African memory of Mark is found not only in the Gospel according to St. Mark and the Acts of the Apostles, but also in the anonymous primitive Urtext of the third century, </w:t>
      </w:r>
      <w:r w:rsidRPr="00A81E76">
        <w:rPr>
          <w:rFonts w:ascii="Perpetua" w:eastAsia="Calibri" w:hAnsi="Perpetua" w:cs="Times New Roman"/>
          <w:i/>
          <w:iCs/>
          <w:kern w:val="2"/>
          <w:sz w:val="20"/>
          <w:szCs w:val="20"/>
          <w14:ligatures w14:val="standardContextual"/>
        </w:rPr>
        <w:t>Martyrium Marci</w:t>
      </w:r>
      <w:r w:rsidRPr="00A81E76">
        <w:rPr>
          <w:rFonts w:ascii="Perpetua" w:eastAsia="Calibri" w:hAnsi="Perpetua" w:cs="Times New Roman"/>
          <w:kern w:val="2"/>
          <w:sz w:val="20"/>
          <w:szCs w:val="20"/>
          <w14:ligatures w14:val="standardContextual"/>
        </w:rPr>
        <w:t>, and the writings of Clement of Alexandria, Origen, Athanasius and Cyril—all to be later investigated. These and other documents, and many others now unheralded, fed into the history of Sawirus ibn al-Muqaffa, bishop of Al Ashmunein, sometimes referred to as Severus.</w:t>
      </w:r>
    </w:p>
    <w:p w14:paraId="48C78AB6" w14:textId="77777777" w:rsidR="00A81E76" w:rsidRPr="00A81E76" w:rsidRDefault="00A81E76" w:rsidP="00A81E76">
      <w:pPr>
        <w:spacing w:after="0" w:line="240" w:lineRule="auto"/>
        <w:ind w:firstLine="432"/>
        <w:jc w:val="both"/>
        <w:rPr>
          <w:rFonts w:ascii="Perpetua" w:eastAsia="Calibri" w:hAnsi="Perpetua" w:cs="Times New Roman"/>
          <w:kern w:val="2"/>
          <w:sz w:val="20"/>
          <w:szCs w:val="20"/>
          <w14:ligatures w14:val="standardContextual"/>
        </w:rPr>
      </w:pPr>
      <w:r w:rsidRPr="00A81E76">
        <w:rPr>
          <w:rFonts w:ascii="Perpetua" w:eastAsia="Calibri" w:hAnsi="Perpetua" w:cs="Times New Roman"/>
          <w:kern w:val="2"/>
          <w:sz w:val="20"/>
          <w:szCs w:val="20"/>
          <w14:ligatures w14:val="standardContextual"/>
        </w:rPr>
        <w:t>Similarly, we might speak of the characteristic American memory of Thomas Jefferson as writer of the Declaration of Independence. The Jeffersonian memory is concretized in texts which can be examined, pondered and grasped. The African memory, as I use the term, takes into account the full weight of cumulative evidences coming out of the African continent over the length of centuries, including evidences from archaeology, epigraphic and literary sources, as well as oral traditions and stories of the saints.</w:t>
      </w:r>
      <w:r w:rsidRPr="00A81E76">
        <w:rPr>
          <w:rFonts w:ascii="Perpetua" w:eastAsia="Calibri" w:hAnsi="Perpetua" w:cs="Times New Roman"/>
          <w:kern w:val="2"/>
          <w:sz w:val="20"/>
          <w:szCs w:val="20"/>
          <w:vertAlign w:val="superscript"/>
          <w14:ligatures w14:val="standardContextual"/>
        </w:rPr>
        <w:footnoteReference w:id="12"/>
      </w:r>
    </w:p>
    <w:p w14:paraId="2A214D46" w14:textId="77777777" w:rsidR="00A81E76" w:rsidRPr="00A81E76" w:rsidRDefault="00A81E76" w:rsidP="00A81E76">
      <w:pPr>
        <w:spacing w:after="0" w:line="240" w:lineRule="auto"/>
        <w:ind w:firstLine="432"/>
        <w:jc w:val="both"/>
        <w:rPr>
          <w:rFonts w:ascii="Perpetua" w:eastAsia="Calibri" w:hAnsi="Perpetua" w:cs="Times New Roman"/>
          <w:kern w:val="2"/>
          <w:sz w:val="20"/>
          <w:szCs w:val="20"/>
          <w14:ligatures w14:val="standardContextual"/>
        </w:rPr>
      </w:pPr>
      <w:r w:rsidRPr="00A81E76">
        <w:rPr>
          <w:rFonts w:ascii="Perpetua" w:eastAsia="Calibri" w:hAnsi="Perpetua" w:cs="Times New Roman"/>
          <w:kern w:val="2"/>
          <w:sz w:val="20"/>
          <w:szCs w:val="20"/>
          <w14:ligatures w14:val="standardContextual"/>
        </w:rPr>
        <w:t>Much divides Christians in Africa, but the memory of Mark unites them. They are divided by (1) Protestant suspicions and stereotypes that Coptic liturgy is out of date or worse, phony, (2) long-standing conflicts since the fifth century between Catholics and Copts, and (3) Coptic pride that hesitates to concede any measure of apostolic authorization to either Protestants or Catholics.</w:t>
      </w:r>
    </w:p>
    <w:p w14:paraId="5A9E3225" w14:textId="77777777" w:rsidR="00A81E76" w:rsidRPr="00A81E76" w:rsidRDefault="00A81E76" w:rsidP="00A81E76">
      <w:pPr>
        <w:spacing w:after="0" w:line="240" w:lineRule="auto"/>
        <w:ind w:firstLine="432"/>
        <w:jc w:val="both"/>
        <w:rPr>
          <w:rFonts w:ascii="Perpetua" w:eastAsia="Calibri" w:hAnsi="Perpetua" w:cs="Times New Roman"/>
          <w:kern w:val="2"/>
          <w:sz w:val="20"/>
          <w:szCs w:val="20"/>
          <w14:ligatures w14:val="standardContextual"/>
        </w:rPr>
      </w:pPr>
      <w:r w:rsidRPr="00A81E76">
        <w:rPr>
          <w:rFonts w:ascii="Perpetua" w:eastAsia="Calibri" w:hAnsi="Perpetua" w:cs="Times New Roman"/>
          <w:kern w:val="2"/>
          <w:sz w:val="20"/>
          <w:szCs w:val="20"/>
          <w14:ligatures w14:val="standardContextual"/>
        </w:rPr>
        <w:t>Despite these differences, all of them are in basic agreement that Mark was the first apostle to Africa. This is a fact that makes Mark:</w:t>
      </w:r>
    </w:p>
    <w:p w14:paraId="01F6ACBB" w14:textId="77777777" w:rsidR="00A81E76" w:rsidRPr="00A81E76" w:rsidRDefault="00A81E76" w:rsidP="00A81E76">
      <w:pPr>
        <w:numPr>
          <w:ilvl w:val="0"/>
          <w:numId w:val="3"/>
        </w:numPr>
        <w:spacing w:after="0" w:line="240" w:lineRule="auto"/>
        <w:contextualSpacing/>
        <w:jc w:val="both"/>
        <w:rPr>
          <w:rFonts w:ascii="Perpetua" w:eastAsia="Calibri" w:hAnsi="Perpetua" w:cs="Times New Roman"/>
          <w:kern w:val="2"/>
          <w:sz w:val="20"/>
          <w:szCs w:val="20"/>
          <w14:ligatures w14:val="standardContextual"/>
        </w:rPr>
      </w:pPr>
      <w:r w:rsidRPr="00A81E76">
        <w:rPr>
          <w:rFonts w:ascii="Perpetua" w:eastAsia="Calibri" w:hAnsi="Perpetua" w:cs="Times New Roman"/>
          <w:kern w:val="2"/>
          <w:sz w:val="20"/>
          <w:szCs w:val="20"/>
          <w14:ligatures w14:val="standardContextual"/>
        </w:rPr>
        <w:t>Foundational for the Coptic patriarchal history</w:t>
      </w:r>
    </w:p>
    <w:p w14:paraId="6F4D3C00" w14:textId="77777777" w:rsidR="00A81E76" w:rsidRPr="00A81E76" w:rsidRDefault="00A81E76" w:rsidP="00A81E76">
      <w:pPr>
        <w:numPr>
          <w:ilvl w:val="0"/>
          <w:numId w:val="3"/>
        </w:numPr>
        <w:spacing w:after="0" w:line="240" w:lineRule="auto"/>
        <w:contextualSpacing/>
        <w:jc w:val="both"/>
        <w:rPr>
          <w:rFonts w:ascii="Perpetua" w:eastAsia="Calibri" w:hAnsi="Perpetua" w:cs="Times New Roman"/>
          <w:kern w:val="2"/>
          <w:sz w:val="20"/>
          <w:szCs w:val="20"/>
          <w14:ligatures w14:val="standardContextual"/>
        </w:rPr>
      </w:pPr>
      <w:r w:rsidRPr="00A81E76">
        <w:rPr>
          <w:rFonts w:ascii="Perpetua" w:eastAsia="Calibri" w:hAnsi="Perpetua" w:cs="Times New Roman"/>
          <w:kern w:val="2"/>
          <w:sz w:val="20"/>
          <w:szCs w:val="20"/>
          <w14:ligatures w14:val="standardContextual"/>
        </w:rPr>
        <w:t>Honored and celebrated in explicit annual Catholic and ecumenical liturgical recollections of Mark as the first Christian martyr of Africa</w:t>
      </w:r>
    </w:p>
    <w:p w14:paraId="0103C371" w14:textId="77777777" w:rsidR="00A81E76" w:rsidRPr="00A81E76" w:rsidRDefault="00A81E76" w:rsidP="00A81E76">
      <w:pPr>
        <w:numPr>
          <w:ilvl w:val="0"/>
          <w:numId w:val="3"/>
        </w:numPr>
        <w:spacing w:after="0" w:line="240" w:lineRule="auto"/>
        <w:contextualSpacing/>
        <w:jc w:val="both"/>
        <w:rPr>
          <w:rFonts w:ascii="Perpetua" w:eastAsia="Calibri" w:hAnsi="Perpetua" w:cs="Times New Roman"/>
          <w:kern w:val="2"/>
          <w:sz w:val="20"/>
          <w:szCs w:val="20"/>
          <w14:ligatures w14:val="standardContextual"/>
        </w:rPr>
      </w:pPr>
      <w:r w:rsidRPr="00A81E76">
        <w:rPr>
          <w:rFonts w:ascii="Perpetua" w:eastAsia="Calibri" w:hAnsi="Perpetua" w:cs="Times New Roman"/>
          <w:kern w:val="2"/>
          <w:sz w:val="20"/>
          <w:szCs w:val="20"/>
          <w14:ligatures w14:val="standardContextual"/>
        </w:rPr>
        <w:t>Viewed by almost all varieties of African Protestants, despite their diversity, with great pride and joy as their earliest apostolic ancestor</w:t>
      </w:r>
    </w:p>
    <w:p w14:paraId="086D7EC6" w14:textId="77777777" w:rsidR="00A81E76" w:rsidRPr="00A81E76" w:rsidRDefault="00A81E76" w:rsidP="00A81E76">
      <w:pPr>
        <w:numPr>
          <w:ilvl w:val="0"/>
          <w:numId w:val="3"/>
        </w:numPr>
        <w:spacing w:after="0" w:line="240" w:lineRule="auto"/>
        <w:contextualSpacing/>
        <w:jc w:val="both"/>
        <w:rPr>
          <w:rFonts w:ascii="Perpetua" w:eastAsia="Calibri" w:hAnsi="Perpetua" w:cs="Times New Roman"/>
          <w:kern w:val="2"/>
          <w:sz w:val="20"/>
          <w:szCs w:val="20"/>
          <w14:ligatures w14:val="standardContextual"/>
        </w:rPr>
      </w:pPr>
      <w:r w:rsidRPr="00A81E76">
        <w:rPr>
          <w:rFonts w:ascii="Perpetua" w:eastAsia="Calibri" w:hAnsi="Perpetua" w:cs="Times New Roman"/>
          <w:kern w:val="2"/>
          <w:sz w:val="20"/>
          <w:szCs w:val="20"/>
          <w14:ligatures w14:val="standardContextual"/>
        </w:rPr>
        <w:t>The delight of both African Pentecostals and Orthodox in celebrating the outpouring of the Spirit at the house of Mary the mother of Mark as the setting of the original Pentecost in Jerusalem</w:t>
      </w:r>
    </w:p>
    <w:p w14:paraId="6BA538A9" w14:textId="0A624225" w:rsidR="00A81E76" w:rsidRPr="00A81E76" w:rsidRDefault="00A81E76" w:rsidP="00A81E76">
      <w:pPr>
        <w:spacing w:after="0" w:line="240" w:lineRule="auto"/>
        <w:ind w:firstLine="432"/>
        <w:jc w:val="both"/>
        <w:rPr>
          <w:rFonts w:ascii="Perpetua" w:eastAsia="Calibri" w:hAnsi="Perpetua" w:cs="Times New Roman"/>
          <w:kern w:val="2"/>
          <w:sz w:val="20"/>
          <w:szCs w:val="20"/>
          <w14:ligatures w14:val="standardContextual"/>
        </w:rPr>
      </w:pPr>
      <w:r w:rsidRPr="00A81E76">
        <w:rPr>
          <w:rFonts w:ascii="Perpetua" w:eastAsia="Calibri" w:hAnsi="Perpetua" w:cs="Times New Roman"/>
          <w:kern w:val="2"/>
          <w:sz w:val="20"/>
          <w:szCs w:val="20"/>
          <w14:ligatures w14:val="standardContextual"/>
        </w:rPr>
        <w:t>Those who are looking for an ecumenical beginning point for bringing together diverse Christian viewpoints of African Christianity will turn naturally to Mark. Mark’s life and mission embodied the unity of the body of Christ. Mark remains a fixed point of reference for virtually all Christian believers in Africa today.</w:t>
      </w:r>
      <w:r w:rsidR="00B2021B">
        <w:rPr>
          <w:rFonts w:ascii="Perpetua" w:eastAsia="Calibri" w:hAnsi="Perpetua" w:cs="Times New Roman"/>
          <w:kern w:val="2"/>
          <w:sz w:val="20"/>
          <w:szCs w:val="20"/>
          <w14:ligatures w14:val="standardContextual"/>
        </w:rPr>
        <w:t xml:space="preserve"> </w:t>
      </w:r>
      <w:r w:rsidR="00B2021B">
        <w:rPr>
          <w:rFonts w:ascii="Perpetua" w:eastAsia="Calibri" w:hAnsi="Perpetua" w:cs="Times New Roman"/>
          <w:kern w:val="2"/>
          <w:sz w:val="20"/>
          <w:szCs w:val="20"/>
          <w14:ligatures w14:val="standardContextual"/>
        </w:rPr>
        <w:sym w:font="Wingdings" w:char="F076"/>
      </w:r>
    </w:p>
    <w:p w14:paraId="16068F2B" w14:textId="1A3CB491" w:rsidR="007E0C3D" w:rsidRDefault="007E0C3D" w:rsidP="007E0C3D">
      <w:pPr>
        <w:pStyle w:val="DACBHeading1"/>
        <w:jc w:val="left"/>
      </w:pPr>
      <w:r>
        <w:br w:type="page"/>
      </w:r>
    </w:p>
    <w:p w14:paraId="69214AA8" w14:textId="16A1B7D6" w:rsidR="00BD7FBF" w:rsidRPr="007E0C3D" w:rsidRDefault="00BD7FBF" w:rsidP="007E0C3D">
      <w:pPr>
        <w:pStyle w:val="DACBHeading1"/>
        <w:rPr>
          <w:rFonts w:ascii="Perpetua" w:eastAsiaTheme="majorEastAsia" w:hAnsi="Perpetua" w:cstheme="majorBidi"/>
          <w:b/>
          <w:sz w:val="20"/>
          <w:szCs w:val="20"/>
        </w:rPr>
      </w:pPr>
      <w:bookmarkStart w:id="10" w:name="_Toc158365922"/>
      <w:r>
        <w:lastRenderedPageBreak/>
        <w:t xml:space="preserve">Book </w:t>
      </w:r>
      <w:r w:rsidR="005C727D">
        <w:t xml:space="preserve">Series </w:t>
      </w:r>
      <w:r>
        <w:t>Highlight</w:t>
      </w:r>
      <w:bookmarkEnd w:id="10"/>
    </w:p>
    <w:p w14:paraId="7AAE57D7" w14:textId="380BAC54" w:rsidR="00BD7FBF" w:rsidRPr="004E3428" w:rsidRDefault="00BD7FBF" w:rsidP="00094737">
      <w:pPr>
        <w:autoSpaceDE w:val="0"/>
        <w:autoSpaceDN w:val="0"/>
        <w:adjustRightInd w:val="0"/>
        <w:spacing w:after="0" w:line="240" w:lineRule="auto"/>
        <w:ind w:firstLine="576"/>
        <w:jc w:val="both"/>
        <w:rPr>
          <w:rFonts w:ascii="Perpetua" w:hAnsi="Perpetua" w:cs="Times New Roman"/>
          <w:color w:val="000000"/>
          <w:sz w:val="20"/>
          <w:szCs w:val="20"/>
        </w:rPr>
      </w:pPr>
      <w:r>
        <w:rPr>
          <w:rFonts w:ascii="Perpetua" w:hAnsi="Perpetua" w:cs="Times New Roman"/>
          <w:color w:val="000000"/>
          <w:sz w:val="20"/>
          <w:szCs w:val="20"/>
        </w:rPr>
        <w:br/>
        <w:t>E</w:t>
      </w:r>
      <w:r w:rsidRPr="004E3428">
        <w:rPr>
          <w:rFonts w:ascii="Perpetua" w:hAnsi="Perpetua" w:cs="Times New Roman"/>
          <w:color w:val="000000"/>
          <w:sz w:val="20"/>
          <w:szCs w:val="20"/>
        </w:rPr>
        <w:t xml:space="preserve">xcerpt from </w:t>
      </w:r>
      <w:r w:rsidRPr="004E3428">
        <w:rPr>
          <w:rFonts w:ascii="Perpetua" w:hAnsi="Perpetua" w:cs="Times New Roman"/>
          <w:i/>
          <w:color w:val="000000"/>
          <w:sz w:val="20"/>
          <w:szCs w:val="20"/>
        </w:rPr>
        <w:t>We Believe: Experiencing the Creed Through Ancient African Christianity (Series 1; Book I)</w:t>
      </w:r>
      <w:r>
        <w:rPr>
          <w:rFonts w:ascii="Perpetua" w:hAnsi="Perpetua" w:cs="Times New Roman"/>
          <w:color w:val="000000"/>
          <w:sz w:val="20"/>
          <w:szCs w:val="20"/>
        </w:rPr>
        <w:t xml:space="preserve"> by </w:t>
      </w:r>
      <w:r w:rsidRPr="004E3428">
        <w:rPr>
          <w:rFonts w:ascii="Perpetua" w:hAnsi="Perpetua" w:cs="Times New Roman"/>
          <w:color w:val="000000"/>
          <w:sz w:val="20"/>
          <w:szCs w:val="20"/>
        </w:rPr>
        <w:t xml:space="preserve">Christopher Hall, the former Director of Academic Spiritual Formation and Distinguished Professor of Theology at Eastern University, St. Davids, PA. </w:t>
      </w:r>
    </w:p>
    <w:p w14:paraId="0D6CD735" w14:textId="77777777" w:rsidR="00BD7FBF" w:rsidRPr="004E3428" w:rsidRDefault="00BD7FBF" w:rsidP="00094737">
      <w:pPr>
        <w:autoSpaceDE w:val="0"/>
        <w:autoSpaceDN w:val="0"/>
        <w:adjustRightInd w:val="0"/>
        <w:spacing w:after="0" w:line="240" w:lineRule="auto"/>
        <w:ind w:firstLine="576"/>
        <w:jc w:val="both"/>
        <w:rPr>
          <w:rFonts w:ascii="Perpetua" w:hAnsi="Perpetua" w:cs="Times New Roman"/>
          <w:color w:val="000000"/>
          <w:sz w:val="20"/>
          <w:szCs w:val="20"/>
        </w:rPr>
      </w:pPr>
    </w:p>
    <w:p w14:paraId="7A0C4330" w14:textId="77777777" w:rsidR="00094737" w:rsidRPr="00094737" w:rsidRDefault="00094737" w:rsidP="00094737">
      <w:pPr>
        <w:autoSpaceDE w:val="0"/>
        <w:autoSpaceDN w:val="0"/>
        <w:adjustRightInd w:val="0"/>
        <w:spacing w:after="0" w:line="240" w:lineRule="auto"/>
        <w:jc w:val="both"/>
        <w:rPr>
          <w:rFonts w:ascii="Perpetua" w:hAnsi="Perpetua" w:cs="Times New Roman"/>
          <w:b/>
          <w:bCs/>
          <w:color w:val="000000"/>
          <w:sz w:val="20"/>
          <w:szCs w:val="20"/>
        </w:rPr>
      </w:pPr>
      <w:r w:rsidRPr="00094737">
        <w:rPr>
          <w:rFonts w:ascii="Perpetua" w:hAnsi="Perpetua" w:cs="Times New Roman"/>
          <w:b/>
          <w:bCs/>
          <w:color w:val="000000"/>
          <w:sz w:val="20"/>
          <w:szCs w:val="20"/>
        </w:rPr>
        <w:t>Introduction</w:t>
      </w:r>
    </w:p>
    <w:p w14:paraId="4F4EA7F2" w14:textId="77777777" w:rsidR="00094737" w:rsidRDefault="00094737" w:rsidP="00094737">
      <w:pPr>
        <w:autoSpaceDE w:val="0"/>
        <w:autoSpaceDN w:val="0"/>
        <w:adjustRightInd w:val="0"/>
        <w:spacing w:after="0" w:line="240" w:lineRule="auto"/>
        <w:jc w:val="both"/>
        <w:rPr>
          <w:rFonts w:ascii="Perpetua" w:hAnsi="Perpetua" w:cs="Times New Roman"/>
          <w:color w:val="000000"/>
          <w:sz w:val="20"/>
          <w:szCs w:val="20"/>
        </w:rPr>
      </w:pPr>
    </w:p>
    <w:p w14:paraId="51892B16" w14:textId="437A8BB6" w:rsidR="00BD7FBF" w:rsidRPr="004E3428" w:rsidRDefault="00BD7FBF" w:rsidP="00094737">
      <w:pPr>
        <w:autoSpaceDE w:val="0"/>
        <w:autoSpaceDN w:val="0"/>
        <w:adjustRightInd w:val="0"/>
        <w:spacing w:after="0" w:line="240" w:lineRule="auto"/>
        <w:jc w:val="both"/>
        <w:rPr>
          <w:rFonts w:ascii="Perpetua" w:hAnsi="Perpetua" w:cs="Times New Roman"/>
          <w:color w:val="000000"/>
          <w:sz w:val="20"/>
          <w:szCs w:val="20"/>
        </w:rPr>
      </w:pPr>
      <w:r w:rsidRPr="004E3428">
        <w:rPr>
          <w:rFonts w:ascii="Perpetua" w:hAnsi="Perpetua" w:cs="Times New Roman"/>
          <w:color w:val="000000"/>
          <w:sz w:val="20"/>
          <w:szCs w:val="20"/>
        </w:rPr>
        <w:t xml:space="preserve">What should readers expect in the pages to come? In the </w:t>
      </w:r>
      <w:r w:rsidRPr="004E3428">
        <w:rPr>
          <w:rFonts w:ascii="Perpetua" w:hAnsi="Perpetua" w:cs="Times New Roman"/>
          <w:i/>
          <w:iCs/>
          <w:color w:val="000000"/>
          <w:sz w:val="20"/>
          <w:szCs w:val="20"/>
        </w:rPr>
        <w:t xml:space="preserve">We Believe </w:t>
      </w:r>
      <w:r w:rsidRPr="004E3428">
        <w:rPr>
          <w:rFonts w:ascii="Perpetua" w:hAnsi="Perpetua" w:cs="Times New Roman"/>
          <w:color w:val="000000"/>
          <w:sz w:val="20"/>
          <w:szCs w:val="20"/>
        </w:rPr>
        <w:t>series of booklets, sponsored by the Center for Early African Christianity, we will focus on the African church fathers (Tertullian, Origen, Clement of Alexandria, Cyprian, Athanasius, Augustine, and others) and their contributions in thought and practice to the formation of the Nicene Creed. Though these church fathers lived long ago, the Christian community readily affirms their lasting importance. As the Mafa proverb teaches us, “Even when your father is old you can still stand in his shade.”</w:t>
      </w:r>
      <w:r w:rsidRPr="004E3428">
        <w:rPr>
          <w:rStyle w:val="FootnoteReference"/>
          <w:rFonts w:ascii="Perpetua" w:hAnsi="Perpetua" w:cs="Times New Roman"/>
          <w:color w:val="000000"/>
          <w:sz w:val="20"/>
          <w:szCs w:val="20"/>
        </w:rPr>
        <w:footnoteReference w:id="13"/>
      </w:r>
    </w:p>
    <w:p w14:paraId="1646C895" w14:textId="77777777" w:rsidR="00BD7FBF" w:rsidRPr="004E3428" w:rsidRDefault="00BD7FBF" w:rsidP="00094737">
      <w:pPr>
        <w:autoSpaceDE w:val="0"/>
        <w:autoSpaceDN w:val="0"/>
        <w:adjustRightInd w:val="0"/>
        <w:spacing w:after="0" w:line="240" w:lineRule="auto"/>
        <w:ind w:firstLine="432"/>
        <w:jc w:val="both"/>
        <w:rPr>
          <w:rFonts w:ascii="Perpetua" w:hAnsi="Perpetua" w:cs="Times New Roman"/>
          <w:color w:val="000000"/>
          <w:sz w:val="20"/>
          <w:szCs w:val="20"/>
        </w:rPr>
      </w:pPr>
      <w:r w:rsidRPr="004E3428">
        <w:rPr>
          <w:rFonts w:ascii="Perpetua" w:hAnsi="Perpetua" w:cs="Times New Roman"/>
          <w:color w:val="000000"/>
          <w:sz w:val="20"/>
          <w:szCs w:val="20"/>
        </w:rPr>
        <w:t xml:space="preserve">Let’s briefly review some of the key personalities you’ll encounter in the </w:t>
      </w:r>
      <w:r w:rsidRPr="004E3428">
        <w:rPr>
          <w:rFonts w:ascii="Perpetua" w:hAnsi="Perpetua" w:cs="Times New Roman"/>
          <w:i/>
          <w:iCs/>
          <w:color w:val="000000"/>
          <w:sz w:val="20"/>
          <w:szCs w:val="20"/>
        </w:rPr>
        <w:t xml:space="preserve">We Believe </w:t>
      </w:r>
      <w:r w:rsidRPr="004E3428">
        <w:rPr>
          <w:rFonts w:ascii="Perpetua" w:hAnsi="Perpetua" w:cs="Times New Roman"/>
          <w:color w:val="000000"/>
          <w:sz w:val="20"/>
          <w:szCs w:val="20"/>
        </w:rPr>
        <w:t xml:space="preserve">series. </w:t>
      </w:r>
    </w:p>
    <w:p w14:paraId="3489AA96" w14:textId="77777777" w:rsidR="00BD7FBF" w:rsidRPr="004E3428" w:rsidRDefault="00BD7FBF" w:rsidP="00094737">
      <w:pPr>
        <w:autoSpaceDE w:val="0"/>
        <w:autoSpaceDN w:val="0"/>
        <w:adjustRightInd w:val="0"/>
        <w:spacing w:after="0" w:line="240" w:lineRule="auto"/>
        <w:ind w:firstLine="432"/>
        <w:jc w:val="both"/>
        <w:rPr>
          <w:rFonts w:ascii="Perpetua" w:hAnsi="Perpetua" w:cs="Times New Roman"/>
          <w:color w:val="000000"/>
          <w:sz w:val="20"/>
          <w:szCs w:val="20"/>
        </w:rPr>
      </w:pPr>
      <w:r w:rsidRPr="004E3428">
        <w:rPr>
          <w:rFonts w:ascii="Perpetua" w:hAnsi="Perpetua" w:cs="Times New Roman"/>
          <w:b/>
          <w:bCs/>
          <w:color w:val="000000"/>
          <w:sz w:val="20"/>
          <w:szCs w:val="20"/>
        </w:rPr>
        <w:t>Clement of Alexandria</w:t>
      </w:r>
      <w:r w:rsidRPr="004E3428">
        <w:rPr>
          <w:rFonts w:ascii="Perpetua" w:hAnsi="Perpetua" w:cs="Times New Roman"/>
          <w:color w:val="000000"/>
          <w:sz w:val="20"/>
          <w:szCs w:val="20"/>
        </w:rPr>
        <w:t xml:space="preserve"> (c. </w:t>
      </w:r>
      <w:r w:rsidRPr="004E3428">
        <w:rPr>
          <w:rFonts w:ascii="Perpetua" w:hAnsi="Perpetua" w:cs="Helvetica"/>
          <w:color w:val="000000"/>
          <w:sz w:val="20"/>
          <w:szCs w:val="20"/>
        </w:rPr>
        <w:t xml:space="preserve">AD </w:t>
      </w:r>
      <w:r w:rsidRPr="004E3428">
        <w:rPr>
          <w:rFonts w:ascii="Perpetua" w:hAnsi="Perpetua" w:cs="Times New Roman"/>
          <w:color w:val="000000"/>
          <w:sz w:val="20"/>
          <w:szCs w:val="20"/>
        </w:rPr>
        <w:t xml:space="preserve">150-215): Clement, a convert to Christianity, immigrated to the city of Alexandria in Egypt. Around 200, he became the head of the Alexandrian school for catechumens. Clement is known for his works: </w:t>
      </w:r>
      <w:r w:rsidRPr="004E3428">
        <w:rPr>
          <w:rFonts w:ascii="Perpetua" w:hAnsi="Perpetua" w:cs="Times New Roman"/>
          <w:i/>
          <w:iCs/>
          <w:color w:val="000000"/>
          <w:sz w:val="20"/>
          <w:szCs w:val="20"/>
        </w:rPr>
        <w:t>Christ the Educator</w:t>
      </w:r>
      <w:r w:rsidRPr="004E3428">
        <w:rPr>
          <w:rFonts w:ascii="Perpetua" w:hAnsi="Perpetua" w:cs="Times New Roman"/>
          <w:color w:val="000000"/>
          <w:sz w:val="20"/>
          <w:szCs w:val="20"/>
        </w:rPr>
        <w:t xml:space="preserve">, </w:t>
      </w:r>
      <w:r w:rsidRPr="004E3428">
        <w:rPr>
          <w:rFonts w:ascii="Perpetua" w:hAnsi="Perpetua" w:cs="Times New Roman"/>
          <w:i/>
          <w:iCs/>
          <w:color w:val="000000"/>
          <w:sz w:val="20"/>
          <w:szCs w:val="20"/>
        </w:rPr>
        <w:t>Excerpts from Theodotus</w:t>
      </w:r>
      <w:r w:rsidRPr="004E3428">
        <w:rPr>
          <w:rFonts w:ascii="Perpetua" w:hAnsi="Perpetua" w:cs="Times New Roman"/>
          <w:color w:val="000000"/>
          <w:sz w:val="20"/>
          <w:szCs w:val="20"/>
        </w:rPr>
        <w:t xml:space="preserve">, and </w:t>
      </w:r>
      <w:r w:rsidRPr="004E3428">
        <w:rPr>
          <w:rFonts w:ascii="Perpetua" w:hAnsi="Perpetua" w:cs="Times New Roman"/>
          <w:i/>
          <w:iCs/>
          <w:color w:val="000000"/>
          <w:sz w:val="20"/>
          <w:szCs w:val="20"/>
        </w:rPr>
        <w:t>Miscellanies</w:t>
      </w:r>
      <w:r w:rsidRPr="004E3428">
        <w:rPr>
          <w:rFonts w:ascii="Perpetua" w:hAnsi="Perpetua" w:cs="Times New Roman"/>
          <w:color w:val="000000"/>
          <w:sz w:val="20"/>
          <w:szCs w:val="20"/>
        </w:rPr>
        <w:t>. When you read Clement, you’ll notice how well he blends insights from Greek philosophy with his understanding of the Christian faith.</w:t>
      </w:r>
    </w:p>
    <w:p w14:paraId="206207A6" w14:textId="77777777" w:rsidR="00BD7FBF" w:rsidRPr="004E3428" w:rsidRDefault="00BD7FBF" w:rsidP="00094737">
      <w:pPr>
        <w:autoSpaceDE w:val="0"/>
        <w:autoSpaceDN w:val="0"/>
        <w:adjustRightInd w:val="0"/>
        <w:spacing w:after="0" w:line="240" w:lineRule="auto"/>
        <w:ind w:firstLine="432"/>
        <w:jc w:val="both"/>
        <w:rPr>
          <w:rFonts w:ascii="Perpetua" w:hAnsi="Perpetua" w:cs="Times New Roman"/>
          <w:color w:val="000000"/>
          <w:sz w:val="20"/>
          <w:szCs w:val="20"/>
        </w:rPr>
      </w:pPr>
      <w:r w:rsidRPr="004E3428">
        <w:rPr>
          <w:rFonts w:ascii="Perpetua" w:hAnsi="Perpetua" w:cs="Times New Roman"/>
          <w:b/>
          <w:bCs/>
          <w:color w:val="000000"/>
          <w:sz w:val="20"/>
          <w:szCs w:val="20"/>
        </w:rPr>
        <w:t xml:space="preserve">Tertullian </w:t>
      </w:r>
      <w:r w:rsidRPr="004E3428">
        <w:rPr>
          <w:rFonts w:ascii="Perpetua" w:hAnsi="Perpetua" w:cs="Times New Roman"/>
          <w:color w:val="000000"/>
          <w:sz w:val="20"/>
          <w:szCs w:val="20"/>
        </w:rPr>
        <w:t xml:space="preserve">(c. </w:t>
      </w:r>
      <w:r w:rsidRPr="004E3428">
        <w:rPr>
          <w:rFonts w:ascii="Perpetua" w:hAnsi="Perpetua" w:cs="Helvetica"/>
          <w:color w:val="000000"/>
          <w:sz w:val="20"/>
          <w:szCs w:val="20"/>
        </w:rPr>
        <w:t xml:space="preserve">AD </w:t>
      </w:r>
      <w:r w:rsidRPr="004E3428">
        <w:rPr>
          <w:rFonts w:ascii="Perpetua" w:hAnsi="Perpetua" w:cs="Times New Roman"/>
          <w:color w:val="000000"/>
          <w:sz w:val="20"/>
          <w:szCs w:val="20"/>
        </w:rPr>
        <w:t xml:space="preserve">160-225): Tertullian was a lay theologian and apologist from the North African city of Carthage. Tertullian wrote in Latin and was the first African Christian to write on key Christian themes and concerns. Among his works are </w:t>
      </w:r>
      <w:r w:rsidRPr="004E3428">
        <w:rPr>
          <w:rFonts w:ascii="Perpetua" w:hAnsi="Perpetua" w:cs="Times New Roman"/>
          <w:i/>
          <w:iCs/>
          <w:color w:val="000000"/>
          <w:sz w:val="20"/>
          <w:szCs w:val="20"/>
        </w:rPr>
        <w:t>To the Heathens</w:t>
      </w:r>
      <w:r w:rsidRPr="004E3428">
        <w:rPr>
          <w:rFonts w:ascii="Perpetua" w:hAnsi="Perpetua" w:cs="Times New Roman"/>
          <w:color w:val="000000"/>
          <w:sz w:val="20"/>
          <w:szCs w:val="20"/>
        </w:rPr>
        <w:t xml:space="preserve">, </w:t>
      </w:r>
      <w:r w:rsidRPr="004E3428">
        <w:rPr>
          <w:rFonts w:ascii="Perpetua" w:hAnsi="Perpetua" w:cs="Times New Roman"/>
          <w:i/>
          <w:iCs/>
          <w:color w:val="000000"/>
          <w:sz w:val="20"/>
          <w:szCs w:val="20"/>
        </w:rPr>
        <w:t>On the Shows</w:t>
      </w:r>
      <w:r w:rsidRPr="004E3428">
        <w:rPr>
          <w:rFonts w:ascii="Perpetua" w:hAnsi="Perpetua" w:cs="Times New Roman"/>
          <w:color w:val="000000"/>
          <w:sz w:val="20"/>
          <w:szCs w:val="20"/>
        </w:rPr>
        <w:t xml:space="preserve">, </w:t>
      </w:r>
      <w:r w:rsidRPr="004E3428">
        <w:rPr>
          <w:rFonts w:ascii="Perpetua" w:hAnsi="Perpetua" w:cs="Times New Roman"/>
          <w:i/>
          <w:iCs/>
          <w:color w:val="000000"/>
          <w:sz w:val="20"/>
          <w:szCs w:val="20"/>
        </w:rPr>
        <w:t>Against Marcion</w:t>
      </w:r>
      <w:r w:rsidRPr="004E3428">
        <w:rPr>
          <w:rFonts w:ascii="Perpetua" w:hAnsi="Perpetua" w:cs="Times New Roman"/>
          <w:color w:val="000000"/>
          <w:sz w:val="20"/>
          <w:szCs w:val="20"/>
        </w:rPr>
        <w:t xml:space="preserve">, </w:t>
      </w:r>
      <w:r w:rsidRPr="004E3428">
        <w:rPr>
          <w:rFonts w:ascii="Perpetua" w:hAnsi="Perpetua" w:cs="Times New Roman"/>
          <w:i/>
          <w:iCs/>
          <w:color w:val="000000"/>
          <w:sz w:val="20"/>
          <w:szCs w:val="20"/>
        </w:rPr>
        <w:t>On Prayer</w:t>
      </w:r>
      <w:r w:rsidRPr="004E3428">
        <w:rPr>
          <w:rFonts w:ascii="Perpetua" w:hAnsi="Perpetua" w:cs="Times New Roman"/>
          <w:color w:val="000000"/>
          <w:sz w:val="20"/>
          <w:szCs w:val="20"/>
        </w:rPr>
        <w:t>,</w:t>
      </w:r>
      <w:r w:rsidRPr="004E3428">
        <w:rPr>
          <w:rFonts w:ascii="Perpetua" w:hAnsi="Perpetua" w:cs="Times New Roman"/>
          <w:i/>
          <w:iCs/>
          <w:color w:val="000000"/>
          <w:sz w:val="20"/>
          <w:szCs w:val="20"/>
        </w:rPr>
        <w:t xml:space="preserve"> On Patience</w:t>
      </w:r>
      <w:r w:rsidRPr="004E3428">
        <w:rPr>
          <w:rFonts w:ascii="Perpetua" w:hAnsi="Perpetua" w:cs="Times New Roman"/>
          <w:color w:val="000000"/>
          <w:sz w:val="20"/>
          <w:szCs w:val="20"/>
        </w:rPr>
        <w:t xml:space="preserve">, </w:t>
      </w:r>
      <w:r w:rsidRPr="004E3428">
        <w:rPr>
          <w:rFonts w:ascii="Perpetua" w:hAnsi="Perpetua" w:cs="Times New Roman"/>
          <w:i/>
          <w:iCs/>
          <w:color w:val="000000"/>
          <w:sz w:val="20"/>
          <w:szCs w:val="20"/>
        </w:rPr>
        <w:t>On Baptism</w:t>
      </w:r>
      <w:r w:rsidRPr="004E3428">
        <w:rPr>
          <w:rFonts w:ascii="Perpetua" w:hAnsi="Perpetua" w:cs="Times New Roman"/>
          <w:color w:val="000000"/>
          <w:sz w:val="20"/>
          <w:szCs w:val="20"/>
        </w:rPr>
        <w:t xml:space="preserve">, </w:t>
      </w:r>
      <w:r w:rsidRPr="004E3428">
        <w:rPr>
          <w:rFonts w:ascii="Perpetua" w:hAnsi="Perpetua" w:cs="Times New Roman"/>
          <w:i/>
          <w:iCs/>
          <w:color w:val="000000"/>
          <w:sz w:val="20"/>
          <w:szCs w:val="20"/>
        </w:rPr>
        <w:t>Against Hermogenes</w:t>
      </w:r>
      <w:r w:rsidRPr="004E3428">
        <w:rPr>
          <w:rFonts w:ascii="Perpetua" w:hAnsi="Perpetua" w:cs="Times New Roman"/>
          <w:color w:val="000000"/>
          <w:sz w:val="20"/>
          <w:szCs w:val="20"/>
        </w:rPr>
        <w:t xml:space="preserve">, </w:t>
      </w:r>
      <w:r w:rsidRPr="004E3428">
        <w:rPr>
          <w:rFonts w:ascii="Perpetua" w:hAnsi="Perpetua" w:cs="Times New Roman"/>
          <w:i/>
          <w:iCs/>
          <w:color w:val="000000"/>
          <w:sz w:val="20"/>
          <w:szCs w:val="20"/>
        </w:rPr>
        <w:t>The Resurrection of the Dead</w:t>
      </w:r>
      <w:r w:rsidRPr="004E3428">
        <w:rPr>
          <w:rFonts w:ascii="Perpetua" w:hAnsi="Perpetua" w:cs="Times New Roman"/>
          <w:color w:val="000000"/>
          <w:sz w:val="20"/>
          <w:szCs w:val="20"/>
        </w:rPr>
        <w:t xml:space="preserve">, and </w:t>
      </w:r>
      <w:r w:rsidRPr="004E3428">
        <w:rPr>
          <w:rFonts w:ascii="Perpetua" w:hAnsi="Perpetua" w:cs="Times New Roman"/>
          <w:i/>
          <w:iCs/>
          <w:color w:val="000000"/>
          <w:sz w:val="20"/>
          <w:szCs w:val="20"/>
        </w:rPr>
        <w:t xml:space="preserve">The Flesh of Christ </w:t>
      </w:r>
      <w:r w:rsidRPr="004E3428">
        <w:rPr>
          <w:rFonts w:ascii="Perpetua" w:hAnsi="Perpetua" w:cs="Times New Roman"/>
          <w:color w:val="000000"/>
          <w:sz w:val="20"/>
          <w:szCs w:val="20"/>
        </w:rPr>
        <w:t xml:space="preserve">(among many others). Tertullian is never boring. He had a fine legal mind and enjoyed engaging the opponents of the faith in a lively and sometimes fiery manner. You may be interested to learn that it is Tertullian who was the first Christian writer to use the term “Trinity” and “New Testament.” </w:t>
      </w:r>
    </w:p>
    <w:p w14:paraId="6BCC25E5" w14:textId="77777777" w:rsidR="00BD7FBF" w:rsidRPr="004E3428" w:rsidRDefault="00BD7FBF" w:rsidP="00094737">
      <w:pPr>
        <w:autoSpaceDE w:val="0"/>
        <w:autoSpaceDN w:val="0"/>
        <w:adjustRightInd w:val="0"/>
        <w:spacing w:after="0" w:line="240" w:lineRule="auto"/>
        <w:ind w:firstLine="432"/>
        <w:jc w:val="both"/>
        <w:rPr>
          <w:rFonts w:ascii="Perpetua" w:hAnsi="Perpetua" w:cs="Times New Roman"/>
          <w:color w:val="000000"/>
          <w:sz w:val="20"/>
          <w:szCs w:val="20"/>
        </w:rPr>
      </w:pPr>
      <w:r w:rsidRPr="004E3428">
        <w:rPr>
          <w:rFonts w:ascii="Perpetua" w:hAnsi="Perpetua" w:cs="Times New Roman"/>
          <w:b/>
          <w:bCs/>
          <w:color w:val="000000"/>
          <w:sz w:val="20"/>
          <w:szCs w:val="20"/>
        </w:rPr>
        <w:t>Origen</w:t>
      </w:r>
      <w:r w:rsidRPr="004E3428">
        <w:rPr>
          <w:rFonts w:ascii="Perpetua" w:hAnsi="Perpetua" w:cs="Times New Roman"/>
          <w:color w:val="000000"/>
          <w:sz w:val="20"/>
          <w:szCs w:val="20"/>
        </w:rPr>
        <w:t xml:space="preserve"> (</w:t>
      </w:r>
      <w:r w:rsidRPr="004E3428">
        <w:rPr>
          <w:rFonts w:ascii="Perpetua" w:hAnsi="Perpetua" w:cs="Helvetica"/>
          <w:color w:val="000000"/>
          <w:sz w:val="20"/>
          <w:szCs w:val="20"/>
        </w:rPr>
        <w:t xml:space="preserve">AD </w:t>
      </w:r>
      <w:r w:rsidRPr="004E3428">
        <w:rPr>
          <w:rFonts w:ascii="Perpetua" w:hAnsi="Perpetua" w:cs="Times New Roman"/>
          <w:color w:val="000000"/>
          <w:sz w:val="20"/>
          <w:szCs w:val="20"/>
        </w:rPr>
        <w:t xml:space="preserve">184-253): Origen is quite likely the greatest biblical scholar and exegete (biblical interpreter) in the church’s history. Probably a child prodigy of sorts, Origen demonstrated a lively faith from an early age and was deeply affected by the martyrdom of his father Leonidas, who was martyred in Alexandria when Origen was 18 years old. Throughout Origen’s life the Scriptures remained the center of his existence and life as a Christian. The Bible was his food and drink. Origen possessed a deep reverence for the Hebrew Bible and the New Testament Scriptures, urging his students to set aside a significant part of each day for study, meditation, and prayer. He devoted much of his life to making the Bible in its entirety accessible to the church. </w:t>
      </w:r>
      <w:r w:rsidRPr="004E3428">
        <w:rPr>
          <w:rFonts w:ascii="Perpetua" w:hAnsi="Perpetua" w:cs="Times New Roman"/>
          <w:color w:val="000000"/>
          <w:sz w:val="20"/>
          <w:szCs w:val="20"/>
        </w:rPr>
        <w:lastRenderedPageBreak/>
        <w:t>While the Old Testament frequently troubled Origen when he tried to interpret it literally, he affirmed, against Gnostic opposition, that the entire Bible was the book of the church. Thus, much of Origen’s life was devoted to a study of the textual tradition and content of the Hebrew Scriptures. In 250 Origen was arrested and tortured by the Roman government; a few years later he died as a result of the severe injuries he suffered. He is one of the faithful African martyrs of the church.</w:t>
      </w:r>
    </w:p>
    <w:p w14:paraId="11D6C40C" w14:textId="77777777" w:rsidR="00BD7FBF" w:rsidRPr="004E3428" w:rsidRDefault="00BD7FBF" w:rsidP="00094737">
      <w:pPr>
        <w:autoSpaceDE w:val="0"/>
        <w:autoSpaceDN w:val="0"/>
        <w:adjustRightInd w:val="0"/>
        <w:spacing w:after="0" w:line="240" w:lineRule="auto"/>
        <w:ind w:firstLine="432"/>
        <w:jc w:val="both"/>
        <w:rPr>
          <w:rFonts w:ascii="Perpetua" w:hAnsi="Perpetua" w:cs="Times New Roman"/>
          <w:color w:val="000000"/>
          <w:sz w:val="20"/>
          <w:szCs w:val="20"/>
        </w:rPr>
      </w:pPr>
      <w:r w:rsidRPr="004E3428">
        <w:rPr>
          <w:rFonts w:ascii="Perpetua" w:hAnsi="Perpetua" w:cs="Times New Roman"/>
          <w:b/>
          <w:bCs/>
          <w:color w:val="000000"/>
          <w:sz w:val="20"/>
          <w:szCs w:val="20"/>
        </w:rPr>
        <w:t>Cyprian</w:t>
      </w:r>
      <w:r w:rsidRPr="004E3428">
        <w:rPr>
          <w:rFonts w:ascii="Perpetua" w:hAnsi="Perpetua" w:cs="Times New Roman"/>
          <w:color w:val="000000"/>
          <w:sz w:val="20"/>
          <w:szCs w:val="20"/>
        </w:rPr>
        <w:t xml:space="preserve"> (c. </w:t>
      </w:r>
      <w:r w:rsidRPr="004E3428">
        <w:rPr>
          <w:rFonts w:ascii="Perpetua" w:hAnsi="Perpetua" w:cs="Helvetica"/>
          <w:color w:val="000000"/>
          <w:sz w:val="20"/>
          <w:szCs w:val="20"/>
        </w:rPr>
        <w:t xml:space="preserve">AD </w:t>
      </w:r>
      <w:r w:rsidRPr="004E3428">
        <w:rPr>
          <w:rFonts w:ascii="Perpetua" w:hAnsi="Perpetua" w:cs="Times New Roman"/>
          <w:color w:val="000000"/>
          <w:sz w:val="20"/>
          <w:szCs w:val="20"/>
        </w:rPr>
        <w:t xml:space="preserve">210-258): Cyprian was bishop of the North African city of Carthage from roughly </w:t>
      </w:r>
      <w:r w:rsidRPr="004E3428">
        <w:rPr>
          <w:rFonts w:ascii="Perpetua" w:hAnsi="Perpetua" w:cs="Helvetica"/>
          <w:color w:val="000000"/>
          <w:sz w:val="20"/>
          <w:szCs w:val="20"/>
        </w:rPr>
        <w:t xml:space="preserve">AD </w:t>
      </w:r>
      <w:r w:rsidRPr="004E3428">
        <w:rPr>
          <w:rFonts w:ascii="Perpetua" w:hAnsi="Perpetua" w:cs="Times New Roman"/>
          <w:color w:val="000000"/>
          <w:sz w:val="20"/>
          <w:szCs w:val="20"/>
        </w:rPr>
        <w:t xml:space="preserve">248-258. The ten years of his episcopate were a rough, troubled, trying time for the church, a period of intense suffering during both the Decian and Valerian persecutions. A good place to start in your study of Cyprian would be to read his book </w:t>
      </w:r>
      <w:r w:rsidRPr="004E3428">
        <w:rPr>
          <w:rFonts w:ascii="Perpetua" w:hAnsi="Perpetua" w:cs="Times New Roman"/>
          <w:i/>
          <w:iCs/>
          <w:color w:val="000000"/>
          <w:sz w:val="20"/>
          <w:szCs w:val="20"/>
        </w:rPr>
        <w:t>On the Unity of the Church</w:t>
      </w:r>
      <w:r w:rsidRPr="004E3428">
        <w:rPr>
          <w:rFonts w:ascii="Perpetua" w:hAnsi="Perpetua" w:cs="Times New Roman"/>
          <w:color w:val="000000"/>
          <w:sz w:val="20"/>
          <w:szCs w:val="20"/>
        </w:rPr>
        <w:t>. In this book Cyprian pulls no punches. He insists that schism in the church finds its root in the demonic. It is the devil’s work, “a new fraud” that employs “the Christian name to deceive the incautious.” Schism, Cyprian teaches, is especially deceptive because those who break away from the church believe they do so in the name of Christ. Indeed, “they still call themselves Christians, and, walking in darkness, they think that they have the light, while the adversary is flattering and deceiving.”</w:t>
      </w:r>
      <w:r>
        <w:rPr>
          <w:rFonts w:ascii="Perpetua" w:hAnsi="Perpetua" w:cs="Times New Roman"/>
          <w:color w:val="000000"/>
          <w:sz w:val="20"/>
          <w:szCs w:val="20"/>
        </w:rPr>
        <w:t xml:space="preserve"> </w:t>
      </w:r>
      <w:r w:rsidRPr="004E3428">
        <w:rPr>
          <w:rFonts w:ascii="Perpetua" w:hAnsi="Perpetua" w:cs="Times New Roman"/>
          <w:color w:val="000000"/>
          <w:sz w:val="20"/>
          <w:szCs w:val="20"/>
        </w:rPr>
        <w:t>Cyprian is another of the great African martyrs; he was beheaded by Rome on September 14, 258.</w:t>
      </w:r>
    </w:p>
    <w:p w14:paraId="772BAB97" w14:textId="77777777" w:rsidR="00BD7FBF" w:rsidRPr="004E3428" w:rsidRDefault="00BD7FBF" w:rsidP="00094737">
      <w:pPr>
        <w:autoSpaceDE w:val="0"/>
        <w:autoSpaceDN w:val="0"/>
        <w:adjustRightInd w:val="0"/>
        <w:spacing w:after="0" w:line="240" w:lineRule="auto"/>
        <w:ind w:firstLine="432"/>
        <w:jc w:val="both"/>
        <w:rPr>
          <w:rFonts w:ascii="Perpetua" w:hAnsi="Perpetua" w:cs="Times New Roman"/>
          <w:color w:val="000000"/>
          <w:sz w:val="20"/>
          <w:szCs w:val="20"/>
        </w:rPr>
      </w:pPr>
      <w:r w:rsidRPr="004E3428">
        <w:rPr>
          <w:rFonts w:ascii="Perpetua" w:hAnsi="Perpetua" w:cs="Times New Roman"/>
          <w:b/>
          <w:bCs/>
          <w:color w:val="000000"/>
          <w:sz w:val="20"/>
          <w:szCs w:val="20"/>
        </w:rPr>
        <w:t>Lactantius</w:t>
      </w:r>
      <w:r w:rsidRPr="004E3428">
        <w:rPr>
          <w:rFonts w:ascii="Perpetua" w:hAnsi="Perpetua" w:cs="Times New Roman"/>
          <w:color w:val="000000"/>
          <w:sz w:val="20"/>
          <w:szCs w:val="20"/>
        </w:rPr>
        <w:t xml:space="preserve"> (c. </w:t>
      </w:r>
      <w:r w:rsidRPr="004E3428">
        <w:rPr>
          <w:rFonts w:ascii="Perpetua" w:hAnsi="Perpetua" w:cs="Helvetica"/>
          <w:color w:val="000000"/>
          <w:sz w:val="20"/>
          <w:szCs w:val="20"/>
        </w:rPr>
        <w:t xml:space="preserve">AD </w:t>
      </w:r>
      <w:r w:rsidRPr="004E3428">
        <w:rPr>
          <w:rFonts w:ascii="Perpetua" w:hAnsi="Perpetua" w:cs="Times New Roman"/>
          <w:color w:val="000000"/>
          <w:sz w:val="20"/>
          <w:szCs w:val="20"/>
        </w:rPr>
        <w:t xml:space="preserve">250-325): Lactantius was born in Proconsular Africa (modern-day Tunisia) and was converted roughly 40 years after his birth. He knew the pagan religions of his day well and is one of the great African apologists for the Christian faith. If you’re interested in studying ancient Christian approaches to apologetics, take a look at Lactantius’s well-known work the </w:t>
      </w:r>
      <w:r w:rsidRPr="004E3428">
        <w:rPr>
          <w:rFonts w:ascii="Perpetua" w:hAnsi="Perpetua" w:cs="Times New Roman"/>
          <w:i/>
          <w:iCs/>
          <w:color w:val="000000"/>
          <w:sz w:val="20"/>
          <w:szCs w:val="20"/>
        </w:rPr>
        <w:t>Divine Institutes</w:t>
      </w:r>
      <w:r w:rsidRPr="004E3428">
        <w:rPr>
          <w:rFonts w:ascii="Perpetua" w:hAnsi="Perpetua" w:cs="Times New Roman"/>
          <w:color w:val="000000"/>
          <w:sz w:val="20"/>
          <w:szCs w:val="20"/>
        </w:rPr>
        <w:t>, a treatise in which Lactantius argues for the reasonableness of Christianity against its pagan critics.</w:t>
      </w:r>
    </w:p>
    <w:p w14:paraId="6162B8A3" w14:textId="77777777" w:rsidR="00BD7FBF" w:rsidRPr="004E3428" w:rsidRDefault="00BD7FBF" w:rsidP="00094737">
      <w:pPr>
        <w:autoSpaceDE w:val="0"/>
        <w:autoSpaceDN w:val="0"/>
        <w:adjustRightInd w:val="0"/>
        <w:spacing w:after="0" w:line="240" w:lineRule="auto"/>
        <w:ind w:firstLine="432"/>
        <w:jc w:val="both"/>
        <w:rPr>
          <w:rFonts w:ascii="Perpetua" w:hAnsi="Perpetua" w:cs="Times New Roman"/>
          <w:color w:val="000000"/>
          <w:sz w:val="20"/>
          <w:szCs w:val="20"/>
        </w:rPr>
      </w:pPr>
      <w:r w:rsidRPr="004E3428">
        <w:rPr>
          <w:rFonts w:ascii="Perpetua" w:hAnsi="Perpetua" w:cs="Times New Roman"/>
          <w:b/>
          <w:bCs/>
          <w:color w:val="000000"/>
          <w:sz w:val="20"/>
          <w:szCs w:val="20"/>
        </w:rPr>
        <w:t>Marius Victorinus</w:t>
      </w:r>
      <w:r w:rsidRPr="004E3428">
        <w:rPr>
          <w:rFonts w:ascii="Perpetua" w:hAnsi="Perpetua" w:cs="Times New Roman"/>
          <w:color w:val="000000"/>
          <w:sz w:val="20"/>
          <w:szCs w:val="20"/>
        </w:rPr>
        <w:t xml:space="preserve"> (c. </w:t>
      </w:r>
      <w:r w:rsidRPr="004E3428">
        <w:rPr>
          <w:rFonts w:ascii="Perpetua" w:hAnsi="Perpetua" w:cs="Helvetica"/>
          <w:color w:val="000000"/>
          <w:sz w:val="20"/>
          <w:szCs w:val="20"/>
        </w:rPr>
        <w:t xml:space="preserve">AD </w:t>
      </w:r>
      <w:r w:rsidRPr="004E3428">
        <w:rPr>
          <w:rFonts w:ascii="Perpetua" w:hAnsi="Perpetua" w:cs="Times New Roman"/>
          <w:color w:val="000000"/>
          <w:sz w:val="20"/>
          <w:szCs w:val="20"/>
        </w:rPr>
        <w:t xml:space="preserve">290-364): Victorinus, an African by birth, was a gifted Roman grammarian, rhetorician, and philosophy. He like Lactantius, converted to Christianity “at an advanced old age” according to a comment of Jerome. The conversion of Victorinus greatly impressed Augustine, who mentions it in Book 8 of his </w:t>
      </w:r>
      <w:r w:rsidRPr="004E3428">
        <w:rPr>
          <w:rFonts w:ascii="Perpetua" w:hAnsi="Perpetua" w:cs="Times New Roman"/>
          <w:i/>
          <w:iCs/>
          <w:color w:val="000000"/>
          <w:sz w:val="20"/>
          <w:szCs w:val="20"/>
        </w:rPr>
        <w:t>Confessions</w:t>
      </w:r>
      <w:r w:rsidRPr="004E3428">
        <w:rPr>
          <w:rFonts w:ascii="Perpetua" w:hAnsi="Perpetua" w:cs="Times New Roman"/>
          <w:color w:val="000000"/>
          <w:sz w:val="20"/>
          <w:szCs w:val="20"/>
        </w:rPr>
        <w:t>. Augustine comments that</w:t>
      </w:r>
    </w:p>
    <w:p w14:paraId="23523DED" w14:textId="178DDF29" w:rsidR="00BD7FBF" w:rsidRPr="004E3428" w:rsidRDefault="00BD7FBF" w:rsidP="00094737">
      <w:pPr>
        <w:autoSpaceDE w:val="0"/>
        <w:autoSpaceDN w:val="0"/>
        <w:adjustRightInd w:val="0"/>
        <w:spacing w:after="0" w:line="240" w:lineRule="auto"/>
        <w:ind w:left="720" w:right="432" w:firstLine="144"/>
        <w:jc w:val="both"/>
        <w:rPr>
          <w:rFonts w:ascii="Perpetua" w:hAnsi="Perpetua" w:cs="Times New Roman"/>
          <w:color w:val="000000"/>
          <w:sz w:val="20"/>
          <w:szCs w:val="20"/>
        </w:rPr>
      </w:pPr>
      <w:r w:rsidRPr="004E3428">
        <w:rPr>
          <w:rFonts w:ascii="Perpetua" w:hAnsi="Perpetua" w:cs="Times New Roman"/>
          <w:color w:val="000000"/>
          <w:sz w:val="20"/>
          <w:szCs w:val="20"/>
        </w:rPr>
        <w:t xml:space="preserve">Victorinus was an old man of great learning, with a profound knowledge of all the liberal sciences. He had studied a great many books of philosophy and published criticisms of them. He had been master to many distinguished members of the Senate, and to mark his outstanding ability as a teacher, he had even been awarded a statue in the Roman forum – a great honor in the </w:t>
      </w:r>
      <w:r>
        <w:rPr>
          <w:rFonts w:ascii="Perpetua" w:hAnsi="Perpetua" w:cs="Times New Roman"/>
          <w:color w:val="000000"/>
          <w:sz w:val="20"/>
          <w:szCs w:val="20"/>
        </w:rPr>
        <w:t>e</w:t>
      </w:r>
      <w:r w:rsidRPr="004E3428">
        <w:rPr>
          <w:rFonts w:ascii="Perpetua" w:hAnsi="Perpetua" w:cs="Times New Roman"/>
          <w:color w:val="000000"/>
          <w:sz w:val="20"/>
          <w:szCs w:val="20"/>
        </w:rPr>
        <w:t>yes of the world . . . yet he was not ashamed to be the child of Christ and to become an infant at your font, submitting his neck to the yoke of humility and bowing his head before the ignominy of the Cross.</w:t>
      </w:r>
      <w:r w:rsidRPr="004E3428">
        <w:rPr>
          <w:rStyle w:val="FootnoteReference"/>
          <w:rFonts w:ascii="Perpetua" w:hAnsi="Perpetua" w:cs="Times New Roman"/>
          <w:color w:val="000000"/>
          <w:sz w:val="20"/>
          <w:szCs w:val="20"/>
        </w:rPr>
        <w:footnoteReference w:id="14"/>
      </w:r>
    </w:p>
    <w:p w14:paraId="251E787A" w14:textId="77777777" w:rsidR="00BD7FBF" w:rsidRPr="004E3428" w:rsidRDefault="00BD7FBF" w:rsidP="00094737">
      <w:pPr>
        <w:autoSpaceDE w:val="0"/>
        <w:autoSpaceDN w:val="0"/>
        <w:adjustRightInd w:val="0"/>
        <w:spacing w:after="0" w:line="240" w:lineRule="auto"/>
        <w:ind w:firstLine="432"/>
        <w:jc w:val="both"/>
        <w:rPr>
          <w:rFonts w:ascii="Perpetua" w:hAnsi="Perpetua" w:cs="Times New Roman"/>
          <w:color w:val="000000"/>
          <w:sz w:val="20"/>
          <w:szCs w:val="20"/>
        </w:rPr>
      </w:pPr>
      <w:r w:rsidRPr="004E3428">
        <w:rPr>
          <w:rFonts w:ascii="Perpetua" w:hAnsi="Perpetua" w:cs="Times New Roman"/>
          <w:color w:val="000000"/>
          <w:sz w:val="20"/>
          <w:szCs w:val="20"/>
        </w:rPr>
        <w:t xml:space="preserve">We will occasionally turn to Victorinus’s treaty on the </w:t>
      </w:r>
      <w:r w:rsidRPr="004E3428">
        <w:rPr>
          <w:rFonts w:ascii="Perpetua" w:hAnsi="Perpetua" w:cs="Times New Roman"/>
          <w:i/>
          <w:iCs/>
          <w:color w:val="000000"/>
          <w:sz w:val="20"/>
          <w:szCs w:val="20"/>
        </w:rPr>
        <w:t>Trinity</w:t>
      </w:r>
      <w:r w:rsidRPr="004E3428">
        <w:rPr>
          <w:rFonts w:ascii="Perpetua" w:hAnsi="Perpetua" w:cs="Times New Roman"/>
          <w:color w:val="000000"/>
          <w:sz w:val="20"/>
          <w:szCs w:val="20"/>
        </w:rPr>
        <w:t>, written to defend the Nicene Creed’s key affirmations of Christ’s divinity. He also wrote a number of commentaries on Paul’s letters.</w:t>
      </w:r>
    </w:p>
    <w:p w14:paraId="1D00AFD2" w14:textId="77777777" w:rsidR="00BD7FBF" w:rsidRPr="004E3428" w:rsidRDefault="00BD7FBF" w:rsidP="00094737">
      <w:pPr>
        <w:autoSpaceDE w:val="0"/>
        <w:autoSpaceDN w:val="0"/>
        <w:adjustRightInd w:val="0"/>
        <w:spacing w:after="0" w:line="240" w:lineRule="auto"/>
        <w:ind w:firstLine="432"/>
        <w:jc w:val="both"/>
        <w:rPr>
          <w:rFonts w:ascii="Perpetua" w:hAnsi="Perpetua" w:cs="Times New Roman"/>
          <w:color w:val="000000"/>
          <w:sz w:val="20"/>
          <w:szCs w:val="20"/>
        </w:rPr>
      </w:pPr>
      <w:r w:rsidRPr="004E3428">
        <w:rPr>
          <w:rFonts w:ascii="Perpetua" w:hAnsi="Perpetua" w:cs="Times New Roman"/>
          <w:b/>
          <w:bCs/>
          <w:color w:val="000000"/>
          <w:sz w:val="20"/>
          <w:szCs w:val="20"/>
        </w:rPr>
        <w:lastRenderedPageBreak/>
        <w:t>Arnobius of Sicca</w:t>
      </w:r>
      <w:r w:rsidRPr="004E3428">
        <w:rPr>
          <w:rFonts w:ascii="Perpetua" w:hAnsi="Perpetua" w:cs="Times New Roman"/>
          <w:color w:val="000000"/>
          <w:sz w:val="20"/>
          <w:szCs w:val="20"/>
        </w:rPr>
        <w:t xml:space="preserve"> (c. </w:t>
      </w:r>
      <w:r w:rsidRPr="004E3428">
        <w:rPr>
          <w:rFonts w:ascii="Perpetua" w:hAnsi="Perpetua" w:cs="Helvetica"/>
          <w:color w:val="000000"/>
          <w:sz w:val="20"/>
          <w:szCs w:val="20"/>
        </w:rPr>
        <w:t xml:space="preserve">AD </w:t>
      </w:r>
      <w:r w:rsidRPr="004E3428">
        <w:rPr>
          <w:rFonts w:ascii="Perpetua" w:hAnsi="Perpetua" w:cs="Times New Roman"/>
          <w:color w:val="000000"/>
          <w:sz w:val="20"/>
          <w:szCs w:val="20"/>
        </w:rPr>
        <w:t xml:space="preserve">255-330): Arnobius, like Lactantius, was born in Proconsular Africa and was of Berber stock. And like Lactantius, his student, Arnobius was a gifted Christian apologist. Jerome writes that Arnobius’s conversion was related to a dream, though the reliability of Jerome’s testimony has been disputed. We do know that Arnobius proved to be an effective defender of the faith and wrote a seven-volume apologetic work titled </w:t>
      </w:r>
      <w:r w:rsidRPr="004E3428">
        <w:rPr>
          <w:rFonts w:ascii="Perpetua" w:hAnsi="Perpetua" w:cs="Times New Roman"/>
          <w:i/>
          <w:iCs/>
          <w:color w:val="000000"/>
          <w:sz w:val="20"/>
          <w:szCs w:val="20"/>
        </w:rPr>
        <w:t>Against the Nations</w:t>
      </w:r>
      <w:r w:rsidRPr="004E3428">
        <w:rPr>
          <w:rFonts w:ascii="Perpetua" w:hAnsi="Perpetua" w:cs="Times New Roman"/>
          <w:color w:val="000000"/>
          <w:sz w:val="20"/>
          <w:szCs w:val="20"/>
        </w:rPr>
        <w:t xml:space="preserve">. </w:t>
      </w:r>
    </w:p>
    <w:p w14:paraId="3E65DA6A" w14:textId="77777777" w:rsidR="00BD7FBF" w:rsidRPr="004E3428" w:rsidRDefault="00BD7FBF" w:rsidP="00094737">
      <w:pPr>
        <w:autoSpaceDE w:val="0"/>
        <w:autoSpaceDN w:val="0"/>
        <w:adjustRightInd w:val="0"/>
        <w:spacing w:after="0" w:line="240" w:lineRule="auto"/>
        <w:ind w:firstLine="432"/>
        <w:jc w:val="both"/>
        <w:rPr>
          <w:rFonts w:ascii="Perpetua" w:hAnsi="Perpetua" w:cs="Times New Roman"/>
          <w:color w:val="000000"/>
          <w:sz w:val="20"/>
          <w:szCs w:val="20"/>
        </w:rPr>
      </w:pPr>
      <w:r w:rsidRPr="004E3428">
        <w:rPr>
          <w:rFonts w:ascii="Perpetua" w:hAnsi="Perpetua" w:cs="Times New Roman"/>
          <w:b/>
          <w:bCs/>
          <w:color w:val="000000"/>
          <w:sz w:val="20"/>
          <w:szCs w:val="20"/>
        </w:rPr>
        <w:t>Athanasius of Alexandria</w:t>
      </w:r>
      <w:r w:rsidRPr="004E3428">
        <w:rPr>
          <w:rFonts w:ascii="Perpetua" w:hAnsi="Perpetua" w:cs="Times New Roman"/>
          <w:color w:val="000000"/>
          <w:sz w:val="20"/>
          <w:szCs w:val="20"/>
        </w:rPr>
        <w:t xml:space="preserve"> (c. </w:t>
      </w:r>
      <w:r w:rsidRPr="004E3428">
        <w:rPr>
          <w:rFonts w:ascii="Perpetua" w:hAnsi="Perpetua" w:cs="Helvetica"/>
          <w:color w:val="000000"/>
          <w:sz w:val="20"/>
          <w:szCs w:val="20"/>
        </w:rPr>
        <w:t xml:space="preserve">AD </w:t>
      </w:r>
      <w:r w:rsidRPr="004E3428">
        <w:rPr>
          <w:rFonts w:ascii="Perpetua" w:hAnsi="Perpetua" w:cs="Times New Roman"/>
          <w:color w:val="000000"/>
          <w:sz w:val="20"/>
          <w:szCs w:val="20"/>
        </w:rPr>
        <w:t xml:space="preserve">295-373): There were no neutral responses to Athanasius. His friends would have willingly given their lives for him. His enemies longed to see him and his memory erased from the earth. Some mocked him as “the black dwarf.” Within Athanasius burned a lively intelligence and a heart on fire for God, the God who had freely and miraculously entered human history to rescue humanity, becoming what we are to rescue us from what we had become. Athanasius wrote two significant theological works – </w:t>
      </w:r>
      <w:r w:rsidRPr="004E3428">
        <w:rPr>
          <w:rFonts w:ascii="Perpetua" w:hAnsi="Perpetua" w:cs="Times New Roman"/>
          <w:i/>
          <w:iCs/>
          <w:color w:val="000000"/>
          <w:sz w:val="20"/>
          <w:szCs w:val="20"/>
        </w:rPr>
        <w:t>An Oration Against the Heathen</w:t>
      </w:r>
      <w:r w:rsidRPr="004E3428">
        <w:rPr>
          <w:rFonts w:ascii="Perpetua" w:hAnsi="Perpetua" w:cs="Times New Roman"/>
          <w:color w:val="000000"/>
          <w:sz w:val="20"/>
          <w:szCs w:val="20"/>
        </w:rPr>
        <w:t xml:space="preserve"> and </w:t>
      </w:r>
      <w:r w:rsidRPr="004E3428">
        <w:rPr>
          <w:rFonts w:ascii="Perpetua" w:hAnsi="Perpetua" w:cs="Times New Roman"/>
          <w:i/>
          <w:iCs/>
          <w:color w:val="000000"/>
          <w:sz w:val="20"/>
          <w:szCs w:val="20"/>
        </w:rPr>
        <w:t>On the Incarnation</w:t>
      </w:r>
      <w:r w:rsidRPr="004E3428">
        <w:rPr>
          <w:rFonts w:ascii="Perpetua" w:hAnsi="Perpetua" w:cs="Times New Roman"/>
          <w:color w:val="000000"/>
          <w:sz w:val="20"/>
          <w:szCs w:val="20"/>
        </w:rPr>
        <w:t xml:space="preserve"> – before the age of twenty. By the age of thirty-three he was bishop of the church in Alexandria. It was not to be an easy job. Over the course of the next forty-five years Athanasius was exiled from his church in Alexandria five times, largely because of his opposition to the ideas of Arius, an Alexandrian presbyter who denied the divinity of Christ. Arius argued that the Son of God was an exalted creature. Athanasius responded with a consistent defense of the proposition that true God had genuinely entered into union with human nature in Jesus Christ. The battle between the two and their followers would wax and wane throughout the years the Nicene Creed was formulated.</w:t>
      </w:r>
    </w:p>
    <w:p w14:paraId="6478E727" w14:textId="77777777" w:rsidR="00BD7FBF" w:rsidRPr="004E3428" w:rsidRDefault="00BD7FBF" w:rsidP="00094737">
      <w:pPr>
        <w:autoSpaceDE w:val="0"/>
        <w:autoSpaceDN w:val="0"/>
        <w:adjustRightInd w:val="0"/>
        <w:spacing w:after="0" w:line="240" w:lineRule="auto"/>
        <w:ind w:firstLine="432"/>
        <w:jc w:val="both"/>
        <w:rPr>
          <w:rFonts w:ascii="Perpetua" w:hAnsi="Perpetua" w:cs="Times New Roman"/>
          <w:color w:val="000000"/>
          <w:sz w:val="20"/>
          <w:szCs w:val="20"/>
        </w:rPr>
      </w:pPr>
      <w:r w:rsidRPr="004E3428">
        <w:rPr>
          <w:rFonts w:ascii="Perpetua" w:hAnsi="Perpetua" w:cs="Times New Roman"/>
          <w:b/>
          <w:bCs/>
          <w:color w:val="000000"/>
          <w:sz w:val="20"/>
          <w:szCs w:val="20"/>
        </w:rPr>
        <w:t>Didymus the Blind</w:t>
      </w:r>
      <w:r w:rsidRPr="004E3428">
        <w:rPr>
          <w:rFonts w:ascii="Perpetua" w:hAnsi="Perpetua" w:cs="Times New Roman"/>
          <w:color w:val="000000"/>
          <w:sz w:val="20"/>
          <w:szCs w:val="20"/>
        </w:rPr>
        <w:t xml:space="preserve"> (c. </w:t>
      </w:r>
      <w:r w:rsidRPr="004E3428">
        <w:rPr>
          <w:rFonts w:ascii="Perpetua" w:hAnsi="Perpetua" w:cs="Helvetica"/>
          <w:color w:val="000000"/>
          <w:sz w:val="20"/>
          <w:szCs w:val="20"/>
        </w:rPr>
        <w:t xml:space="preserve">AD </w:t>
      </w:r>
      <w:r w:rsidRPr="004E3428">
        <w:rPr>
          <w:rFonts w:ascii="Perpetua" w:hAnsi="Perpetua" w:cs="Times New Roman"/>
          <w:color w:val="000000"/>
          <w:sz w:val="20"/>
          <w:szCs w:val="20"/>
        </w:rPr>
        <w:t xml:space="preserve">313-398): Didymus the Blind, a student of Origen, taught for around fifty years in the church at Alexandria. Didymus, like Athanasius, consistently opposed the ideas of Arius. He was well-known for his memory skills, necessitated by the onset of blindness when Didymus was four years old and unable to read. He creatively helped other blind people to read, and experimented with wooden letters, much like the Braille system widely used today. Though Didymus was blind, Jerome – one of Didymus’s students – called him “Didymus the Seeing.” </w:t>
      </w:r>
    </w:p>
    <w:p w14:paraId="0D48AA6C" w14:textId="77777777" w:rsidR="00BD7FBF" w:rsidRPr="004E3428" w:rsidRDefault="00BD7FBF" w:rsidP="00094737">
      <w:pPr>
        <w:autoSpaceDE w:val="0"/>
        <w:autoSpaceDN w:val="0"/>
        <w:adjustRightInd w:val="0"/>
        <w:spacing w:after="0" w:line="240" w:lineRule="auto"/>
        <w:ind w:firstLine="432"/>
        <w:jc w:val="both"/>
        <w:rPr>
          <w:rFonts w:ascii="Perpetua" w:hAnsi="Perpetua" w:cs="Times New Roman"/>
          <w:color w:val="000000"/>
          <w:sz w:val="20"/>
          <w:szCs w:val="20"/>
        </w:rPr>
      </w:pPr>
      <w:r w:rsidRPr="004E3428">
        <w:rPr>
          <w:rFonts w:ascii="Perpetua" w:hAnsi="Perpetua" w:cs="Times New Roman"/>
          <w:b/>
          <w:bCs/>
          <w:color w:val="000000"/>
          <w:sz w:val="20"/>
          <w:szCs w:val="20"/>
        </w:rPr>
        <w:t>Augustine</w:t>
      </w:r>
      <w:r w:rsidRPr="004E3428">
        <w:rPr>
          <w:rFonts w:ascii="Perpetua" w:hAnsi="Perpetua" w:cs="Times New Roman"/>
          <w:color w:val="000000"/>
          <w:sz w:val="20"/>
          <w:szCs w:val="20"/>
        </w:rPr>
        <w:t xml:space="preserve"> (</w:t>
      </w:r>
      <w:r w:rsidRPr="004E3428">
        <w:rPr>
          <w:rFonts w:ascii="Perpetua" w:hAnsi="Perpetua" w:cs="Helvetica"/>
          <w:color w:val="000000"/>
          <w:sz w:val="20"/>
          <w:szCs w:val="20"/>
        </w:rPr>
        <w:t xml:space="preserve">AD </w:t>
      </w:r>
      <w:r w:rsidRPr="004E3428">
        <w:rPr>
          <w:rFonts w:ascii="Perpetua" w:hAnsi="Perpetua" w:cs="Times New Roman"/>
          <w:color w:val="000000"/>
          <w:sz w:val="20"/>
          <w:szCs w:val="20"/>
        </w:rPr>
        <w:t xml:space="preserve">354-430): Augustine grew up in Northern Africa and is generally recognized as the greatest theologian of the African fathers. He is someone you will want to get to know well. I suggest you begin by reading his </w:t>
      </w:r>
      <w:r w:rsidRPr="004E3428">
        <w:rPr>
          <w:rFonts w:ascii="Perpetua" w:hAnsi="Perpetua" w:cs="Times New Roman"/>
          <w:i/>
          <w:iCs/>
          <w:color w:val="000000"/>
          <w:sz w:val="20"/>
          <w:szCs w:val="20"/>
        </w:rPr>
        <w:t>Confessions</w:t>
      </w:r>
      <w:r w:rsidRPr="004E3428">
        <w:rPr>
          <w:rFonts w:ascii="Perpetua" w:hAnsi="Perpetua" w:cs="Times New Roman"/>
          <w:color w:val="000000"/>
          <w:sz w:val="20"/>
          <w:szCs w:val="20"/>
        </w:rPr>
        <w:t xml:space="preserve">, the story of his conversion and related issues. Then, try reading </w:t>
      </w:r>
      <w:r w:rsidRPr="004E3428">
        <w:rPr>
          <w:rFonts w:ascii="Perpetua" w:hAnsi="Perpetua" w:cs="Times New Roman"/>
          <w:i/>
          <w:iCs/>
          <w:color w:val="000000"/>
          <w:sz w:val="20"/>
          <w:szCs w:val="20"/>
        </w:rPr>
        <w:t xml:space="preserve">City of God </w:t>
      </w:r>
      <w:r w:rsidRPr="004E3428">
        <w:rPr>
          <w:rFonts w:ascii="Perpetua" w:hAnsi="Perpetua" w:cs="Times New Roman"/>
          <w:color w:val="000000"/>
          <w:sz w:val="20"/>
          <w:szCs w:val="20"/>
        </w:rPr>
        <w:t>and</w:t>
      </w:r>
      <w:r w:rsidRPr="004E3428">
        <w:rPr>
          <w:rFonts w:ascii="Perpetua" w:hAnsi="Perpetua" w:cs="Times New Roman"/>
          <w:i/>
          <w:iCs/>
          <w:color w:val="000000"/>
          <w:sz w:val="20"/>
          <w:szCs w:val="20"/>
        </w:rPr>
        <w:t xml:space="preserve"> The Trinity</w:t>
      </w:r>
      <w:r w:rsidRPr="004E3428">
        <w:rPr>
          <w:rFonts w:ascii="Perpetua" w:hAnsi="Perpetua" w:cs="Times New Roman"/>
          <w:color w:val="000000"/>
          <w:sz w:val="20"/>
          <w:szCs w:val="20"/>
        </w:rPr>
        <w:t>. These are big books, yet accessible if you take your time. Both contain wonderful insights into many of the topics we find addressed in the Nicene Creed.</w:t>
      </w:r>
    </w:p>
    <w:p w14:paraId="37BEB040" w14:textId="77777777" w:rsidR="00BD7FBF" w:rsidRPr="004E3428" w:rsidRDefault="00BD7FBF" w:rsidP="00094737">
      <w:pPr>
        <w:autoSpaceDE w:val="0"/>
        <w:autoSpaceDN w:val="0"/>
        <w:adjustRightInd w:val="0"/>
        <w:spacing w:after="0" w:line="240" w:lineRule="auto"/>
        <w:ind w:firstLine="432"/>
        <w:jc w:val="both"/>
        <w:rPr>
          <w:rFonts w:ascii="Perpetua" w:hAnsi="Perpetua" w:cs="Times New Roman"/>
          <w:color w:val="000000"/>
          <w:sz w:val="20"/>
          <w:szCs w:val="20"/>
        </w:rPr>
      </w:pPr>
      <w:r w:rsidRPr="004E3428">
        <w:rPr>
          <w:rFonts w:ascii="Perpetua" w:hAnsi="Perpetua" w:cs="Times New Roman"/>
          <w:b/>
          <w:bCs/>
          <w:color w:val="000000"/>
          <w:sz w:val="20"/>
          <w:szCs w:val="20"/>
        </w:rPr>
        <w:t>Antony the Great</w:t>
      </w:r>
      <w:r w:rsidRPr="004E3428">
        <w:rPr>
          <w:rFonts w:ascii="Perpetua" w:hAnsi="Perpetua" w:cs="Times New Roman"/>
          <w:color w:val="000000"/>
          <w:sz w:val="20"/>
          <w:szCs w:val="20"/>
        </w:rPr>
        <w:t xml:space="preserve"> (</w:t>
      </w:r>
      <w:r w:rsidRPr="004E3428">
        <w:rPr>
          <w:rFonts w:ascii="Perpetua" w:hAnsi="Perpetua" w:cs="Helvetica"/>
          <w:color w:val="000000"/>
          <w:sz w:val="20"/>
          <w:szCs w:val="20"/>
        </w:rPr>
        <w:t xml:space="preserve">AD </w:t>
      </w:r>
      <w:r w:rsidRPr="004E3428">
        <w:rPr>
          <w:rFonts w:ascii="Perpetua" w:hAnsi="Perpetua" w:cs="Times New Roman"/>
          <w:color w:val="000000"/>
          <w:sz w:val="20"/>
          <w:szCs w:val="20"/>
        </w:rPr>
        <w:t xml:space="preserve">251-356): Antony the “Great” is one of the great figures in the history of Christian spirituality; he lived most of his life in the Egyptian desert as a Christian monk. Athanasius’s </w:t>
      </w:r>
      <w:r w:rsidRPr="004E3428">
        <w:rPr>
          <w:rFonts w:ascii="Perpetua" w:hAnsi="Perpetua" w:cs="Times New Roman"/>
          <w:i/>
          <w:iCs/>
          <w:color w:val="000000"/>
          <w:sz w:val="20"/>
          <w:szCs w:val="20"/>
        </w:rPr>
        <w:t>Life of Antony</w:t>
      </w:r>
      <w:r w:rsidRPr="004E3428">
        <w:rPr>
          <w:rFonts w:ascii="Perpetua" w:hAnsi="Perpetua" w:cs="Times New Roman"/>
          <w:color w:val="000000"/>
          <w:sz w:val="20"/>
          <w:szCs w:val="20"/>
        </w:rPr>
        <w:t xml:space="preserve"> had a profound effect on the shaping of the African Christian mind and heart and was influential in the conversion of Augustine. Augustine relates in his </w:t>
      </w:r>
      <w:r w:rsidRPr="004E3428">
        <w:rPr>
          <w:rFonts w:ascii="Perpetua" w:hAnsi="Perpetua" w:cs="Times New Roman"/>
          <w:i/>
          <w:iCs/>
          <w:color w:val="000000"/>
          <w:sz w:val="20"/>
          <w:szCs w:val="20"/>
        </w:rPr>
        <w:t>Confessions</w:t>
      </w:r>
      <w:r w:rsidRPr="004E3428">
        <w:rPr>
          <w:rFonts w:ascii="Perpetua" w:hAnsi="Perpetua" w:cs="Times New Roman"/>
          <w:color w:val="000000"/>
          <w:sz w:val="20"/>
          <w:szCs w:val="20"/>
        </w:rPr>
        <w:t xml:space="preserve"> how Antony’s life story helped bring Augustine to a point of Christian commitment. </w:t>
      </w:r>
    </w:p>
    <w:p w14:paraId="297C57E0" w14:textId="77777777" w:rsidR="00BD7FBF" w:rsidRPr="004E3428" w:rsidRDefault="00BD7FBF" w:rsidP="00094737">
      <w:pPr>
        <w:autoSpaceDE w:val="0"/>
        <w:autoSpaceDN w:val="0"/>
        <w:adjustRightInd w:val="0"/>
        <w:spacing w:after="0" w:line="240" w:lineRule="auto"/>
        <w:ind w:left="720" w:right="432" w:firstLine="288"/>
        <w:jc w:val="both"/>
        <w:rPr>
          <w:rFonts w:ascii="Perpetua" w:hAnsi="Perpetua" w:cs="Times New Roman"/>
          <w:color w:val="000000"/>
          <w:sz w:val="20"/>
          <w:szCs w:val="20"/>
        </w:rPr>
      </w:pPr>
      <w:r w:rsidRPr="004E3428">
        <w:rPr>
          <w:rFonts w:ascii="Perpetua" w:hAnsi="Perpetua" w:cs="Times New Roman"/>
          <w:color w:val="000000"/>
          <w:sz w:val="20"/>
          <w:szCs w:val="20"/>
        </w:rPr>
        <w:t xml:space="preserve">For I had heard the story of Antony, and I remembered how he had happened to go into a church while the Gospel was being read and had taken it as a counsel addressed to himself when he heard the words Go </w:t>
      </w:r>
      <w:r w:rsidRPr="004E3428">
        <w:rPr>
          <w:rFonts w:ascii="Perpetua" w:hAnsi="Perpetua" w:cs="Times New Roman"/>
          <w:color w:val="000000"/>
          <w:sz w:val="20"/>
          <w:szCs w:val="20"/>
        </w:rPr>
        <w:lastRenderedPageBreak/>
        <w:t>home and sell all that belongs to you. Give it to the poor, and so the treasure you have shall be in heaven; then come back and follow me.</w:t>
      </w:r>
      <w:r w:rsidRPr="004E3428">
        <w:rPr>
          <w:rStyle w:val="FootnoteReference"/>
          <w:rFonts w:ascii="Perpetua" w:hAnsi="Perpetua" w:cs="Times New Roman"/>
          <w:color w:val="000000"/>
          <w:sz w:val="20"/>
          <w:szCs w:val="20"/>
        </w:rPr>
        <w:footnoteReference w:id="15"/>
      </w:r>
      <w:r w:rsidRPr="004E3428">
        <w:rPr>
          <w:rFonts w:ascii="Perpetua" w:hAnsi="Perpetua" w:cs="Times New Roman"/>
          <w:color w:val="000000"/>
          <w:sz w:val="20"/>
          <w:szCs w:val="20"/>
        </w:rPr>
        <w:t xml:space="preserve"> </w:t>
      </w:r>
    </w:p>
    <w:p w14:paraId="2243F0F0" w14:textId="77777777" w:rsidR="00BD7FBF" w:rsidRPr="004E3428" w:rsidRDefault="00BD7FBF" w:rsidP="00094737">
      <w:pPr>
        <w:autoSpaceDE w:val="0"/>
        <w:autoSpaceDN w:val="0"/>
        <w:adjustRightInd w:val="0"/>
        <w:spacing w:after="0" w:line="240" w:lineRule="auto"/>
        <w:ind w:firstLine="432"/>
        <w:jc w:val="both"/>
        <w:rPr>
          <w:rFonts w:ascii="Perpetua" w:hAnsi="Perpetua" w:cs="Times New Roman"/>
          <w:color w:val="000000"/>
          <w:sz w:val="20"/>
          <w:szCs w:val="20"/>
        </w:rPr>
      </w:pPr>
      <w:r w:rsidRPr="004E3428">
        <w:rPr>
          <w:rFonts w:ascii="Perpetua" w:hAnsi="Perpetua" w:cs="Times New Roman"/>
          <w:color w:val="000000"/>
          <w:sz w:val="20"/>
          <w:szCs w:val="20"/>
        </w:rPr>
        <w:t>Antony was a strong supporter of the Nicene Creed and sharp opponent of Arius’s insistence that Christ was an exalted creature, but not God.</w:t>
      </w:r>
    </w:p>
    <w:p w14:paraId="237EE262" w14:textId="77777777" w:rsidR="00BD7FBF" w:rsidRPr="004E3428" w:rsidRDefault="00BD7FBF" w:rsidP="00094737">
      <w:pPr>
        <w:autoSpaceDE w:val="0"/>
        <w:autoSpaceDN w:val="0"/>
        <w:adjustRightInd w:val="0"/>
        <w:spacing w:after="0" w:line="240" w:lineRule="auto"/>
        <w:ind w:firstLine="432"/>
        <w:jc w:val="both"/>
        <w:rPr>
          <w:rFonts w:ascii="Perpetua" w:hAnsi="Perpetua" w:cs="Times New Roman"/>
          <w:color w:val="000000"/>
          <w:sz w:val="20"/>
          <w:szCs w:val="20"/>
        </w:rPr>
      </w:pPr>
      <w:r w:rsidRPr="004E3428">
        <w:rPr>
          <w:rFonts w:ascii="Perpetua" w:hAnsi="Perpetua" w:cs="Times New Roman"/>
          <w:b/>
          <w:bCs/>
          <w:color w:val="000000"/>
          <w:sz w:val="20"/>
          <w:szCs w:val="20"/>
        </w:rPr>
        <w:t>Optatus of Milevis</w:t>
      </w:r>
      <w:r w:rsidRPr="004E3428">
        <w:rPr>
          <w:rFonts w:ascii="Perpetua" w:hAnsi="Perpetua" w:cs="Times New Roman"/>
          <w:color w:val="000000"/>
          <w:sz w:val="20"/>
          <w:szCs w:val="20"/>
        </w:rPr>
        <w:t xml:space="preserve"> (d. </w:t>
      </w:r>
      <w:r w:rsidRPr="004E3428">
        <w:rPr>
          <w:rFonts w:ascii="Perpetua" w:hAnsi="Perpetua" w:cs="Helvetica"/>
          <w:color w:val="000000"/>
          <w:sz w:val="20"/>
          <w:szCs w:val="20"/>
        </w:rPr>
        <w:t xml:space="preserve">AD </w:t>
      </w:r>
      <w:r w:rsidRPr="004E3428">
        <w:rPr>
          <w:rFonts w:ascii="Perpetua" w:hAnsi="Perpetua" w:cs="Times New Roman"/>
          <w:color w:val="000000"/>
          <w:sz w:val="20"/>
          <w:szCs w:val="20"/>
        </w:rPr>
        <w:t>397): Optatus served as bishop of Milevis in Numidia, an ancient North African Berber kingdom and occasional Roman province in what is present-day Algeria and a smaller area of Tunisia. We will turn to the thought of Optatus in later booklets, especially when we study the African fathers on the nature of the church and the Nicene Creed’s statements on “one holy Catholic and apostolic church.”</w:t>
      </w:r>
      <w:r>
        <w:rPr>
          <w:rFonts w:ascii="Perpetua" w:hAnsi="Perpetua" w:cs="Times New Roman"/>
          <w:color w:val="000000"/>
          <w:sz w:val="20"/>
          <w:szCs w:val="20"/>
        </w:rPr>
        <w:t xml:space="preserve"> </w:t>
      </w:r>
    </w:p>
    <w:p w14:paraId="55BF901C" w14:textId="77777777" w:rsidR="00BD7FBF" w:rsidRPr="004E3428" w:rsidRDefault="00BD7FBF" w:rsidP="00094737">
      <w:pPr>
        <w:autoSpaceDE w:val="0"/>
        <w:autoSpaceDN w:val="0"/>
        <w:adjustRightInd w:val="0"/>
        <w:spacing w:after="0" w:line="240" w:lineRule="auto"/>
        <w:ind w:firstLine="432"/>
        <w:jc w:val="both"/>
        <w:rPr>
          <w:rFonts w:ascii="Perpetua" w:hAnsi="Perpetua" w:cs="Times New Roman"/>
          <w:color w:val="000000"/>
          <w:sz w:val="20"/>
          <w:szCs w:val="20"/>
        </w:rPr>
      </w:pPr>
      <w:r w:rsidRPr="004E3428">
        <w:rPr>
          <w:rFonts w:ascii="Perpetua" w:hAnsi="Perpetua" w:cs="Times New Roman"/>
          <w:color w:val="000000"/>
          <w:sz w:val="20"/>
          <w:szCs w:val="20"/>
        </w:rPr>
        <w:t xml:space="preserve">We ask many questions in the </w:t>
      </w:r>
      <w:r w:rsidRPr="004E3428">
        <w:rPr>
          <w:rFonts w:ascii="Perpetua" w:hAnsi="Perpetua" w:cs="Times New Roman"/>
          <w:i/>
          <w:iCs/>
          <w:color w:val="000000"/>
          <w:sz w:val="20"/>
          <w:szCs w:val="20"/>
        </w:rPr>
        <w:t>We Believe</w:t>
      </w:r>
      <w:r w:rsidRPr="004E3428">
        <w:rPr>
          <w:rFonts w:ascii="Perpetua" w:hAnsi="Perpetua" w:cs="Times New Roman"/>
          <w:color w:val="000000"/>
          <w:sz w:val="20"/>
          <w:szCs w:val="20"/>
        </w:rPr>
        <w:t xml:space="preserve"> series: How did ancient African Christians connect their understanding of the triune God, baptism, the resurrection of the dead, the nature of the church, and the life of the world to come to issues of spiritual growth and formation? How can we emulate these ancient African Christians as we study, learn, meditate, worship, and live, so that by the power of the Holy Spirit and the grace of God at work in us, we might become more and more like Jesus? As our knowledge of the Nicene Creed expands, how might our love for God and our neighbors grow in tandem?</w:t>
      </w:r>
    </w:p>
    <w:p w14:paraId="45AF1105" w14:textId="769044D4" w:rsidR="007E0C3D" w:rsidRDefault="00BD7FBF" w:rsidP="007E0C3D">
      <w:pPr>
        <w:autoSpaceDE w:val="0"/>
        <w:autoSpaceDN w:val="0"/>
        <w:adjustRightInd w:val="0"/>
        <w:spacing w:after="0" w:line="240" w:lineRule="auto"/>
        <w:ind w:firstLine="432"/>
        <w:jc w:val="both"/>
        <w:rPr>
          <w:rFonts w:ascii="Perpetua" w:hAnsi="Perpetua" w:cs="Times New Roman"/>
          <w:color w:val="000000"/>
          <w:sz w:val="20"/>
          <w:szCs w:val="20"/>
        </w:rPr>
      </w:pPr>
      <w:r w:rsidRPr="004E3428">
        <w:rPr>
          <w:rFonts w:ascii="Perpetua" w:hAnsi="Perpetua" w:cs="Times New Roman"/>
          <w:color w:val="000000"/>
          <w:sz w:val="20"/>
          <w:szCs w:val="20"/>
        </w:rPr>
        <w:t>In these short booklets, we explore together the ancient African church and its leading representatives. What did these African Christians believe, and how did their belief in the full revelation of God the Father through the incarnation of his Son Jesus shape their spiritual life and formation? As we ponder these ancient Christians, we will ask ourselves this question: As God’s image-bearers (</w:t>
      </w:r>
      <w:r w:rsidRPr="004E3428">
        <w:rPr>
          <w:rFonts w:ascii="Perpetua" w:hAnsi="Perpetua" w:cs="Times New Roman"/>
          <w:i/>
          <w:iCs/>
          <w:color w:val="000000"/>
          <w:sz w:val="20"/>
          <w:szCs w:val="20"/>
        </w:rPr>
        <w:t>Gen</w:t>
      </w:r>
      <w:r w:rsidRPr="004E3428">
        <w:rPr>
          <w:rFonts w:ascii="Perpetua" w:hAnsi="Perpetua" w:cs="Times New Roman"/>
          <w:color w:val="000000"/>
          <w:sz w:val="20"/>
          <w:szCs w:val="20"/>
        </w:rPr>
        <w:t xml:space="preserve"> 1:26-27), how can we </w:t>
      </w:r>
      <w:r>
        <w:rPr>
          <w:rFonts w:ascii="Perpetua" w:hAnsi="Perpetua" w:cs="Times New Roman"/>
          <w:color w:val="000000"/>
          <w:sz w:val="20"/>
          <w:szCs w:val="20"/>
        </w:rPr>
        <w:t xml:space="preserve">be </w:t>
      </w:r>
      <w:r w:rsidRPr="004E3428">
        <w:rPr>
          <w:rFonts w:ascii="Perpetua" w:hAnsi="Perpetua" w:cs="Times New Roman"/>
          <w:color w:val="000000"/>
          <w:sz w:val="20"/>
          <w:szCs w:val="20"/>
        </w:rPr>
        <w:t>ever more fully formed into the image of the great image-bearer (</w:t>
      </w:r>
      <w:r w:rsidRPr="004E3428">
        <w:rPr>
          <w:rFonts w:ascii="Perpetua" w:hAnsi="Perpetua" w:cs="Times New Roman"/>
          <w:i/>
          <w:iCs/>
          <w:color w:val="000000"/>
          <w:sz w:val="20"/>
          <w:szCs w:val="20"/>
        </w:rPr>
        <w:t>Col</w:t>
      </w:r>
      <w:r w:rsidRPr="004E3428">
        <w:rPr>
          <w:rFonts w:ascii="Perpetua" w:hAnsi="Perpetua" w:cs="Times New Roman"/>
          <w:color w:val="000000"/>
          <w:sz w:val="20"/>
          <w:szCs w:val="20"/>
        </w:rPr>
        <w:t xml:space="preserve"> 1:15ff), Jesus himself, so that we more consistently love God and neighbor? The African church fathers invite us to discard our false images of God for a loving, holy, personal relationship with the living Christ and the eternal Trinity.</w:t>
      </w:r>
      <w:r w:rsidR="00B2021B">
        <w:rPr>
          <w:rFonts w:ascii="Perpetua" w:hAnsi="Perpetua" w:cs="Times New Roman"/>
          <w:color w:val="000000"/>
          <w:sz w:val="20"/>
          <w:szCs w:val="20"/>
        </w:rPr>
        <w:sym w:font="Wingdings" w:char="F076"/>
      </w:r>
    </w:p>
    <w:p w14:paraId="299CB867" w14:textId="77777777" w:rsidR="007E0C3D" w:rsidRDefault="007E0C3D" w:rsidP="007E0C3D">
      <w:pPr>
        <w:autoSpaceDE w:val="0"/>
        <w:autoSpaceDN w:val="0"/>
        <w:adjustRightInd w:val="0"/>
        <w:spacing w:after="0" w:line="240" w:lineRule="auto"/>
        <w:jc w:val="both"/>
        <w:rPr>
          <w:rFonts w:ascii="Perpetua" w:hAnsi="Perpetua" w:cs="Times New Roman"/>
          <w:color w:val="000000"/>
          <w:sz w:val="20"/>
          <w:szCs w:val="20"/>
        </w:rPr>
      </w:pPr>
    </w:p>
    <w:p w14:paraId="4E8AD8FC" w14:textId="768F55D3" w:rsidR="007E0C3D" w:rsidRDefault="007E0C3D" w:rsidP="007E0C3D">
      <w:pPr>
        <w:autoSpaceDE w:val="0"/>
        <w:autoSpaceDN w:val="0"/>
        <w:adjustRightInd w:val="0"/>
        <w:spacing w:after="0" w:line="240" w:lineRule="auto"/>
        <w:jc w:val="both"/>
        <w:rPr>
          <w:rFonts w:ascii="Perpetua" w:hAnsi="Perpetua" w:cs="Times New Roman"/>
          <w:color w:val="000000"/>
          <w:sz w:val="20"/>
          <w:szCs w:val="20"/>
        </w:rPr>
      </w:pPr>
      <w:r w:rsidRPr="007E0C3D">
        <w:rPr>
          <w:rFonts w:ascii="Perpetua" w:hAnsi="Perpetua" w:cs="Times New Roman"/>
          <w:b/>
          <w:bCs/>
          <w:color w:val="000000"/>
          <w:sz w:val="20"/>
          <w:szCs w:val="20"/>
        </w:rPr>
        <w:t>Source</w:t>
      </w:r>
      <w:r>
        <w:rPr>
          <w:rFonts w:ascii="Perpetua" w:hAnsi="Perpetua" w:cs="Times New Roman"/>
          <w:color w:val="000000"/>
          <w:sz w:val="20"/>
          <w:szCs w:val="20"/>
        </w:rPr>
        <w:t xml:space="preserve">: </w:t>
      </w:r>
    </w:p>
    <w:p w14:paraId="025C1396" w14:textId="1A95CBC9" w:rsidR="00542CC4" w:rsidRPr="003F70FB" w:rsidRDefault="00094737" w:rsidP="003F70FB">
      <w:pPr>
        <w:autoSpaceDE w:val="0"/>
        <w:autoSpaceDN w:val="0"/>
        <w:adjustRightInd w:val="0"/>
        <w:spacing w:after="0" w:line="240" w:lineRule="auto"/>
        <w:jc w:val="both"/>
        <w:rPr>
          <w:rFonts w:ascii="Perpetua" w:eastAsia="Calibri" w:hAnsi="Perpetua" w:cs="Times New Roman"/>
          <w:sz w:val="20"/>
          <w:szCs w:val="20"/>
        </w:rPr>
      </w:pPr>
      <w:r>
        <w:rPr>
          <w:rFonts w:ascii="Perpetua" w:hAnsi="Perpetua"/>
          <w:iCs/>
          <w:color w:val="000000"/>
          <w:sz w:val="20"/>
          <w:szCs w:val="20"/>
        </w:rPr>
        <w:t xml:space="preserve">From the book series: </w:t>
      </w:r>
      <w:r w:rsidRPr="004E3428">
        <w:rPr>
          <w:rFonts w:ascii="Perpetua" w:hAnsi="Perpetua"/>
          <w:i/>
          <w:color w:val="000000"/>
          <w:sz w:val="20"/>
          <w:szCs w:val="20"/>
        </w:rPr>
        <w:t>We Believe: Experiencing the Creed Through Ancient African Christianity (Series 1; Book I)</w:t>
      </w:r>
      <w:r>
        <w:rPr>
          <w:rFonts w:ascii="Perpetua" w:hAnsi="Perpetua"/>
          <w:color w:val="000000"/>
          <w:sz w:val="20"/>
          <w:szCs w:val="20"/>
        </w:rPr>
        <w:t xml:space="preserve"> by </w:t>
      </w:r>
      <w:r w:rsidRPr="004E3428">
        <w:rPr>
          <w:rFonts w:ascii="Perpetua" w:hAnsi="Perpetua"/>
          <w:color w:val="000000"/>
          <w:sz w:val="20"/>
          <w:szCs w:val="20"/>
        </w:rPr>
        <w:t>Christopher Hall</w:t>
      </w:r>
      <w:r>
        <w:rPr>
          <w:rFonts w:ascii="Perpetua" w:hAnsi="Perpetua"/>
          <w:color w:val="000000"/>
          <w:sz w:val="20"/>
          <w:szCs w:val="20"/>
        </w:rPr>
        <w:t>.</w:t>
      </w:r>
      <w:r w:rsidRPr="004E3428">
        <w:rPr>
          <w:rFonts w:ascii="Perpetua" w:hAnsi="Perpetua"/>
          <w:color w:val="000000"/>
          <w:sz w:val="20"/>
          <w:szCs w:val="20"/>
        </w:rPr>
        <w:t xml:space="preserve"> These books were published by ICCS Press, New Haven, CT. These may be purchased through </w:t>
      </w:r>
      <w:r>
        <w:rPr>
          <w:rFonts w:ascii="Perpetua" w:hAnsi="Perpetua"/>
          <w:color w:val="000000"/>
          <w:sz w:val="20"/>
          <w:szCs w:val="20"/>
        </w:rPr>
        <w:t>A</w:t>
      </w:r>
      <w:r w:rsidRPr="004E3428">
        <w:rPr>
          <w:rFonts w:ascii="Perpetua" w:hAnsi="Perpetua"/>
          <w:color w:val="000000"/>
          <w:sz w:val="20"/>
          <w:szCs w:val="20"/>
        </w:rPr>
        <w:t xml:space="preserve">mazon.com or </w:t>
      </w:r>
      <w:r w:rsidRPr="00094737">
        <w:rPr>
          <w:rFonts w:ascii="Perpetua" w:hAnsi="Perpetua"/>
          <w:b/>
          <w:i/>
          <w:iCs/>
          <w:color w:val="000000"/>
          <w:sz w:val="20"/>
          <w:szCs w:val="20"/>
        </w:rPr>
        <w:t>for a discounted rate through iccspress.com</w:t>
      </w:r>
      <w:r w:rsidRPr="004E3428">
        <w:rPr>
          <w:rFonts w:ascii="Perpetua" w:hAnsi="Perpetua"/>
          <w:color w:val="000000"/>
          <w:sz w:val="20"/>
          <w:szCs w:val="20"/>
        </w:rPr>
        <w:t xml:space="preserve">. Please email </w:t>
      </w:r>
      <w:hyperlink r:id="rId24" w:history="1">
        <w:r w:rsidRPr="004E3428">
          <w:rPr>
            <w:rStyle w:val="Hyperlink"/>
            <w:rFonts w:ascii="Perpetua" w:hAnsi="Perpetua"/>
            <w:sz w:val="20"/>
            <w:szCs w:val="20"/>
          </w:rPr>
          <w:t>info@odenhouse.org</w:t>
        </w:r>
      </w:hyperlink>
      <w:r w:rsidRPr="004E3428">
        <w:rPr>
          <w:rFonts w:ascii="Perpetua" w:hAnsi="Perpetua"/>
          <w:color w:val="000000"/>
          <w:sz w:val="20"/>
          <w:szCs w:val="20"/>
        </w:rPr>
        <w:t xml:space="preserve"> for further information.</w:t>
      </w:r>
      <w:r w:rsidR="00542CC4">
        <w:br w:type="page"/>
      </w:r>
    </w:p>
    <w:p w14:paraId="21680FA6" w14:textId="77777777" w:rsidR="00344E4F" w:rsidRPr="00344E4F" w:rsidRDefault="00344E4F" w:rsidP="00094737">
      <w:pPr>
        <w:pStyle w:val="Heading1"/>
      </w:pPr>
      <w:bookmarkStart w:id="11" w:name="_Toc527450702"/>
      <w:bookmarkStart w:id="12" w:name="_Toc158365923"/>
      <w:r w:rsidRPr="00595139">
        <w:rPr>
          <w:szCs w:val="24"/>
        </w:rPr>
        <w:lastRenderedPageBreak/>
        <w:t xml:space="preserve">Recent Print and Digital Resources Related to </w:t>
      </w:r>
      <w:r w:rsidRPr="00595139">
        <w:rPr>
          <w:szCs w:val="24"/>
        </w:rPr>
        <w:br/>
        <w:t>Christianity in Africa</w:t>
      </w:r>
      <w:bookmarkEnd w:id="11"/>
      <w:r w:rsidR="006E4846">
        <w:rPr>
          <w:szCs w:val="24"/>
        </w:rPr>
        <w:br/>
      </w:r>
      <w:r w:rsidR="006E4846">
        <w:rPr>
          <w:szCs w:val="24"/>
        </w:rPr>
        <w:br/>
      </w:r>
      <w:r w:rsidRPr="0025304C">
        <w:rPr>
          <w:sz w:val="22"/>
          <w:szCs w:val="22"/>
        </w:rPr>
        <w:t>Compiled by Beth Restrick, Head, BU African Studies Library</w:t>
      </w:r>
      <w:bookmarkEnd w:id="12"/>
    </w:p>
    <w:p w14:paraId="302D28F4" w14:textId="77777777" w:rsidR="000E649F" w:rsidRDefault="000E649F" w:rsidP="00094737"/>
    <w:p w14:paraId="009BE9A8" w14:textId="77777777" w:rsidR="0025304C" w:rsidRPr="0025304C" w:rsidRDefault="0025304C" w:rsidP="0025304C">
      <w:pPr>
        <w:spacing w:after="0" w:line="240" w:lineRule="auto"/>
        <w:jc w:val="both"/>
        <w:rPr>
          <w:rFonts w:ascii="Perpetua" w:eastAsia="Calibri" w:hAnsi="Perpetua" w:cs="Times New Roman"/>
          <w:sz w:val="20"/>
          <w:szCs w:val="20"/>
        </w:rPr>
      </w:pPr>
      <w:r w:rsidRPr="0025304C">
        <w:rPr>
          <w:rFonts w:ascii="Perpetua" w:eastAsia="Calibri" w:hAnsi="Perpetua" w:cs="Times New Roman"/>
          <w:sz w:val="20"/>
          <w:szCs w:val="20"/>
        </w:rPr>
        <w:t xml:space="preserve">Aquilina, Mike. </w:t>
      </w:r>
      <w:r w:rsidRPr="0025304C">
        <w:rPr>
          <w:rFonts w:ascii="Perpetua" w:eastAsia="Calibri" w:hAnsi="Perpetua" w:cs="Times New Roman"/>
          <w:b/>
          <w:bCs/>
          <w:i/>
          <w:iCs/>
          <w:sz w:val="20"/>
          <w:szCs w:val="20"/>
        </w:rPr>
        <w:t>Africa and the Early Church: The Almost-Forgotten Roots of Catholic Christianity.</w:t>
      </w:r>
      <w:r w:rsidRPr="0025304C">
        <w:rPr>
          <w:rFonts w:ascii="Perpetua" w:eastAsia="Calibri" w:hAnsi="Perpetua" w:cs="Times New Roman"/>
          <w:b/>
          <w:bCs/>
          <w:sz w:val="20"/>
          <w:szCs w:val="20"/>
        </w:rPr>
        <w:t xml:space="preserve"> </w:t>
      </w:r>
      <w:r w:rsidRPr="0025304C">
        <w:rPr>
          <w:rFonts w:ascii="Perpetua" w:eastAsia="Calibri" w:hAnsi="Perpetua" w:cs="Times New Roman"/>
          <w:sz w:val="20"/>
          <w:szCs w:val="20"/>
        </w:rPr>
        <w:t xml:space="preserve">Emmaus Road Publishing, 2023. $22.95 (hbk) </w:t>
      </w:r>
      <w:hyperlink r:id="rId25" w:history="1">
        <w:r w:rsidRPr="0025304C">
          <w:rPr>
            <w:rFonts w:ascii="Perpetua" w:eastAsia="Calibri" w:hAnsi="Perpetua" w:cs="Times New Roman"/>
            <w:color w:val="0563C1"/>
            <w:sz w:val="20"/>
            <w:szCs w:val="20"/>
            <w:u w:val="single"/>
          </w:rPr>
          <w:t>www.amazon.com.</w:t>
        </w:r>
      </w:hyperlink>
      <w:r w:rsidRPr="0025304C">
        <w:rPr>
          <w:rFonts w:ascii="Perpetua" w:eastAsia="Calibri" w:hAnsi="Perpetua" w:cs="Times New Roman"/>
          <w:sz w:val="20"/>
          <w:szCs w:val="20"/>
        </w:rPr>
        <w:t xml:space="preserve"> ISBN-10: </w:t>
      </w:r>
      <w:r w:rsidRPr="0025304C">
        <w:rPr>
          <w:rFonts w:ascii="Times New Roman" w:eastAsia="Calibri" w:hAnsi="Times New Roman" w:cs="Times New Roman"/>
          <w:sz w:val="20"/>
          <w:szCs w:val="20"/>
        </w:rPr>
        <w:t>‎</w:t>
      </w:r>
      <w:r w:rsidRPr="0025304C">
        <w:rPr>
          <w:rFonts w:ascii="Perpetua" w:eastAsia="Calibri" w:hAnsi="Perpetua" w:cs="Times New Roman"/>
          <w:sz w:val="20"/>
          <w:szCs w:val="20"/>
        </w:rPr>
        <w:t xml:space="preserve">1645852598; ISBN-13: </w:t>
      </w:r>
      <w:r w:rsidRPr="0025304C">
        <w:rPr>
          <w:rFonts w:ascii="Times New Roman" w:eastAsia="Calibri" w:hAnsi="Times New Roman" w:cs="Times New Roman"/>
          <w:sz w:val="20"/>
          <w:szCs w:val="20"/>
        </w:rPr>
        <w:t>‎</w:t>
      </w:r>
      <w:r w:rsidRPr="0025304C">
        <w:rPr>
          <w:rFonts w:ascii="Perpetua" w:eastAsia="Calibri" w:hAnsi="Perpetua" w:cs="Times New Roman"/>
          <w:sz w:val="20"/>
          <w:szCs w:val="20"/>
        </w:rPr>
        <w:t>978-1645852599.</w:t>
      </w:r>
    </w:p>
    <w:p w14:paraId="785F93D1" w14:textId="77777777" w:rsidR="0025304C" w:rsidRPr="0025304C" w:rsidRDefault="0025304C" w:rsidP="0025304C">
      <w:pPr>
        <w:spacing w:after="0" w:line="240" w:lineRule="auto"/>
        <w:ind w:firstLine="432"/>
        <w:jc w:val="both"/>
        <w:rPr>
          <w:rFonts w:ascii="Perpetua" w:eastAsia="Calibri" w:hAnsi="Perpetua" w:cs="Times New Roman"/>
          <w:sz w:val="20"/>
          <w:szCs w:val="20"/>
        </w:rPr>
      </w:pPr>
      <w:r w:rsidRPr="0025304C">
        <w:rPr>
          <w:rFonts w:ascii="Perpetua" w:eastAsia="Calibri" w:hAnsi="Perpetua" w:cs="Times New Roman"/>
          <w:b/>
          <w:bCs/>
          <w:sz w:val="20"/>
          <w:szCs w:val="20"/>
        </w:rPr>
        <w:t xml:space="preserve">Description: </w:t>
      </w:r>
      <w:r w:rsidRPr="0025304C">
        <w:rPr>
          <w:rFonts w:ascii="Perpetua" w:eastAsia="Calibri" w:hAnsi="Perpetua" w:cs="Times New Roman"/>
          <w:sz w:val="20"/>
          <w:szCs w:val="20"/>
        </w:rPr>
        <w:t xml:space="preserve">When we survey the history of the Faith, it is undeniable that the lands of northern Africa were profoundly influential in the development of early Christianity. The faith arrived early in Ethiopia, Sudan, Egypt, Libya, and the territories we now call Eritrea, Morocco, Algeria, and Tunisia. African Christians made decisive contributions in theology, liturgy, biblical studies, and culture. With the Arab invasions of the seventh and eight centuries, much of this history was lost to Europe, though the marks of ancient influence remained. </w:t>
      </w:r>
    </w:p>
    <w:p w14:paraId="05B6A534" w14:textId="77777777" w:rsidR="0025304C" w:rsidRPr="0025304C" w:rsidRDefault="0025304C" w:rsidP="0025304C">
      <w:pPr>
        <w:spacing w:after="0" w:line="240" w:lineRule="auto"/>
        <w:ind w:firstLine="432"/>
        <w:jc w:val="both"/>
        <w:rPr>
          <w:rFonts w:ascii="Perpetua" w:eastAsia="Calibri" w:hAnsi="Perpetua" w:cs="Times New Roman"/>
          <w:sz w:val="20"/>
          <w:szCs w:val="20"/>
        </w:rPr>
      </w:pPr>
      <w:r w:rsidRPr="0025304C">
        <w:rPr>
          <w:rFonts w:ascii="Perpetua" w:eastAsia="Calibri" w:hAnsi="Perpetua" w:cs="Times New Roman"/>
          <w:i/>
          <w:iCs/>
          <w:sz w:val="20"/>
          <w:szCs w:val="20"/>
        </w:rPr>
        <w:t>Africa and the Early Church: The Almost-Forgotten Roots of Catholic Christianity</w:t>
      </w:r>
      <w:r w:rsidRPr="0025304C">
        <w:rPr>
          <w:rFonts w:ascii="Perpetua" w:eastAsia="Calibri" w:hAnsi="Perpetua" w:cs="Times New Roman"/>
          <w:sz w:val="20"/>
          <w:szCs w:val="20"/>
        </w:rPr>
        <w:t xml:space="preserve"> uncovers that lost history for interested modern readers, telling the story as much as possible in the words of the great figures in antiquity. To acknowledge these Christians and their churches is to complete the historical picture—and to remember what was once common knowledge.</w:t>
      </w:r>
    </w:p>
    <w:p w14:paraId="4AEC66AD" w14:textId="77777777" w:rsidR="0025304C" w:rsidRPr="0025304C" w:rsidRDefault="0025304C" w:rsidP="0025304C">
      <w:pPr>
        <w:spacing w:after="0" w:line="240" w:lineRule="auto"/>
        <w:jc w:val="both"/>
        <w:rPr>
          <w:rFonts w:ascii="Perpetua" w:eastAsia="Calibri" w:hAnsi="Perpetua" w:cs="Times New Roman"/>
          <w:sz w:val="20"/>
          <w:szCs w:val="20"/>
        </w:rPr>
      </w:pPr>
    </w:p>
    <w:p w14:paraId="6A2BC9D2" w14:textId="77777777" w:rsidR="0025304C" w:rsidRPr="0025304C" w:rsidRDefault="0025304C" w:rsidP="0025304C">
      <w:pPr>
        <w:spacing w:after="0" w:line="240" w:lineRule="auto"/>
        <w:jc w:val="both"/>
        <w:rPr>
          <w:rFonts w:ascii="Perpetua" w:eastAsia="Calibri" w:hAnsi="Perpetua" w:cs="Times New Roman"/>
          <w:sz w:val="20"/>
          <w:szCs w:val="20"/>
        </w:rPr>
      </w:pPr>
      <w:r w:rsidRPr="0025304C">
        <w:rPr>
          <w:rFonts w:ascii="Perpetua" w:eastAsia="Calibri" w:hAnsi="Perpetua" w:cs="Times New Roman"/>
          <w:sz w:val="20"/>
          <w:szCs w:val="20"/>
        </w:rPr>
        <w:t xml:space="preserve">Eastman, David L. </w:t>
      </w:r>
      <w:r w:rsidRPr="0025304C">
        <w:rPr>
          <w:rFonts w:ascii="Perpetua" w:eastAsia="Calibri" w:hAnsi="Perpetua" w:cs="Times New Roman"/>
          <w:b/>
          <w:bCs/>
          <w:i/>
          <w:iCs/>
          <w:sz w:val="20"/>
          <w:szCs w:val="20"/>
        </w:rPr>
        <w:t>Early North African Christianity: Turning points in the development of the church.</w:t>
      </w:r>
      <w:r w:rsidRPr="0025304C">
        <w:rPr>
          <w:rFonts w:ascii="Perpetua" w:eastAsia="Calibri" w:hAnsi="Perpetua" w:cs="Times New Roman"/>
          <w:b/>
          <w:bCs/>
          <w:sz w:val="20"/>
          <w:szCs w:val="20"/>
        </w:rPr>
        <w:t xml:space="preserve"> </w:t>
      </w:r>
      <w:r w:rsidRPr="0025304C">
        <w:rPr>
          <w:rFonts w:ascii="Perpetua" w:eastAsia="Calibri" w:hAnsi="Perpetua" w:cs="Times New Roman"/>
          <w:sz w:val="20"/>
          <w:szCs w:val="20"/>
        </w:rPr>
        <w:t xml:space="preserve">Grand Rapids, Michigan: Baker Academic, a division of Baker Publishing Group,  2021. $20.84 (pbk). </w:t>
      </w:r>
      <w:hyperlink r:id="rId26" w:history="1">
        <w:r w:rsidRPr="0025304C">
          <w:rPr>
            <w:rFonts w:ascii="Perpetua" w:eastAsia="Calibri" w:hAnsi="Perpetua" w:cs="Times New Roman"/>
            <w:color w:val="0563C1"/>
            <w:sz w:val="20"/>
            <w:szCs w:val="20"/>
            <w:u w:val="single"/>
          </w:rPr>
          <w:t>www.amazon.com.</w:t>
        </w:r>
      </w:hyperlink>
      <w:r w:rsidRPr="0025304C">
        <w:rPr>
          <w:rFonts w:ascii="Perpetua" w:eastAsia="Calibri" w:hAnsi="Perpetua" w:cs="Times New Roman"/>
          <w:sz w:val="20"/>
          <w:szCs w:val="20"/>
        </w:rPr>
        <w:t xml:space="preserve"> ISBN-10: 1540963675; ISBN-13: 978-1540963673</w:t>
      </w:r>
    </w:p>
    <w:p w14:paraId="2CEA685D" w14:textId="77777777" w:rsidR="0025304C" w:rsidRPr="0025304C" w:rsidRDefault="0025304C" w:rsidP="0025304C">
      <w:pPr>
        <w:spacing w:after="0" w:line="240" w:lineRule="auto"/>
        <w:ind w:firstLine="432"/>
        <w:jc w:val="both"/>
        <w:rPr>
          <w:rFonts w:ascii="Perpetua" w:eastAsia="Calibri" w:hAnsi="Perpetua" w:cs="Times New Roman"/>
          <w:sz w:val="20"/>
          <w:szCs w:val="20"/>
        </w:rPr>
      </w:pPr>
      <w:r w:rsidRPr="0025304C">
        <w:rPr>
          <w:rFonts w:ascii="Perpetua" w:eastAsia="Calibri" w:hAnsi="Perpetua" w:cs="Times New Roman"/>
          <w:b/>
          <w:bCs/>
          <w:sz w:val="20"/>
          <w:szCs w:val="20"/>
        </w:rPr>
        <w:t xml:space="preserve">Description: </w:t>
      </w:r>
      <w:r w:rsidRPr="0025304C">
        <w:rPr>
          <w:rFonts w:ascii="Perpetua" w:eastAsia="Calibri" w:hAnsi="Perpetua" w:cs="Times New Roman"/>
          <w:sz w:val="20"/>
          <w:szCs w:val="20"/>
        </w:rPr>
        <w:t>An internationally recognized scholar highlights the important role the North African church played in the development of Christian thought. This accessible introduction brings Africa back to the center of the study of Christian history by focusing on key figures and events that influenced the history and trajectory of Christianity as a whole. Written and designed for the classroom, the book zeroes in on five turning points to show how North African believers significantly shaped Christian theology, identity, and practice in ways that directly impact the church today.</w:t>
      </w:r>
      <w:r w:rsidRPr="0025304C">
        <w:rPr>
          <w:rFonts w:ascii="Perpetua" w:eastAsia="Calibri" w:hAnsi="Perpetua" w:cs="Times New Roman"/>
          <w:sz w:val="20"/>
          <w:szCs w:val="20"/>
        </w:rPr>
        <w:br/>
      </w:r>
      <w:r w:rsidRPr="0025304C">
        <w:rPr>
          <w:rFonts w:ascii="Perpetua" w:eastAsia="Calibri" w:hAnsi="Perpetua" w:cs="Times New Roman"/>
          <w:sz w:val="20"/>
          <w:szCs w:val="20"/>
        </w:rPr>
        <w:br/>
        <w:t xml:space="preserve">Pignot, Matthieu. </w:t>
      </w:r>
      <w:r w:rsidRPr="0025304C">
        <w:rPr>
          <w:rFonts w:ascii="Perpetua" w:eastAsia="Calibri" w:hAnsi="Perpetua" w:cs="Times New Roman"/>
          <w:b/>
          <w:bCs/>
          <w:i/>
          <w:iCs/>
          <w:sz w:val="20"/>
          <w:szCs w:val="20"/>
        </w:rPr>
        <w:t>The Catechumenate in late antique Africa (4th-6th centuries): Augustine of Hippo, his contemporaries and early reception.</w:t>
      </w:r>
      <w:r w:rsidRPr="0025304C">
        <w:rPr>
          <w:rFonts w:ascii="Perpetua" w:eastAsia="Calibri" w:hAnsi="Perpetua" w:cs="Times New Roman"/>
          <w:sz w:val="20"/>
          <w:szCs w:val="20"/>
        </w:rPr>
        <w:t xml:space="preserve"> Leiden: Brill, 2020. $225.00   </w:t>
      </w:r>
      <w:hyperlink r:id="rId27" w:history="1">
        <w:r w:rsidRPr="0025304C">
          <w:rPr>
            <w:rFonts w:ascii="Perpetua" w:eastAsia="Calibri" w:hAnsi="Perpetua" w:cs="Times New Roman"/>
            <w:color w:val="0563C1"/>
            <w:sz w:val="20"/>
            <w:szCs w:val="20"/>
            <w:u w:val="single"/>
          </w:rPr>
          <w:t>www.amazon.com</w:t>
        </w:r>
      </w:hyperlink>
      <w:r w:rsidRPr="0025304C">
        <w:rPr>
          <w:rFonts w:ascii="Perpetua" w:eastAsia="Calibri" w:hAnsi="Perpetua" w:cs="Times New Roman"/>
          <w:sz w:val="20"/>
          <w:szCs w:val="20"/>
        </w:rPr>
        <w:t xml:space="preserve">  ISBN-10: 9004431896; ISBN-13: 978-9004431898.</w:t>
      </w:r>
    </w:p>
    <w:p w14:paraId="37B280EA" w14:textId="77777777" w:rsidR="0025304C" w:rsidRPr="0025304C" w:rsidRDefault="0025304C" w:rsidP="0025304C">
      <w:pPr>
        <w:spacing w:after="0" w:line="240" w:lineRule="auto"/>
        <w:ind w:firstLine="432"/>
        <w:jc w:val="both"/>
        <w:rPr>
          <w:rFonts w:ascii="Perpetua" w:eastAsia="Calibri" w:hAnsi="Perpetua" w:cs="Times New Roman"/>
          <w:sz w:val="20"/>
          <w:szCs w:val="20"/>
        </w:rPr>
      </w:pPr>
      <w:r w:rsidRPr="0025304C">
        <w:rPr>
          <w:rFonts w:ascii="Perpetua" w:eastAsia="Calibri" w:hAnsi="Perpetua" w:cs="Times New Roman"/>
          <w:b/>
          <w:bCs/>
          <w:sz w:val="20"/>
          <w:szCs w:val="20"/>
        </w:rPr>
        <w:t xml:space="preserve">Description: </w:t>
      </w:r>
      <w:r w:rsidRPr="0025304C">
        <w:rPr>
          <w:rFonts w:ascii="Perpetua" w:eastAsia="Calibri" w:hAnsi="Perpetua" w:cs="Times New Roman"/>
          <w:sz w:val="20"/>
          <w:szCs w:val="20"/>
        </w:rPr>
        <w:t xml:space="preserve">“In </w:t>
      </w:r>
      <w:r w:rsidRPr="0025304C">
        <w:rPr>
          <w:rFonts w:ascii="Perpetua" w:eastAsia="Calibri" w:hAnsi="Perpetua" w:cs="Times New Roman"/>
          <w:i/>
          <w:iCs/>
          <w:sz w:val="20"/>
          <w:szCs w:val="20"/>
        </w:rPr>
        <w:t>The Catechumenate in Late Antique Africa (4th-6th centuries)</w:t>
      </w:r>
      <w:r w:rsidRPr="0025304C">
        <w:rPr>
          <w:rFonts w:ascii="Perpetua" w:eastAsia="Calibri" w:hAnsi="Perpetua" w:cs="Times New Roman"/>
          <w:sz w:val="20"/>
          <w:szCs w:val="20"/>
        </w:rPr>
        <w:t xml:space="preserve">, Matthieu Pignot explores how individuals became Christian in ancient North Africa. Before baptism, converts first became catechumens and spent a significant time of gradual integration into the community through rituals and teaching. This book provides the first historical study of this process in African sources, from Augustine of Hippo, to canon of councils, anonymous sermons and 6th-century letters. Pignot </w:t>
      </w:r>
      <w:r w:rsidRPr="0025304C">
        <w:rPr>
          <w:rFonts w:ascii="Perpetua" w:eastAsia="Calibri" w:hAnsi="Perpetua" w:cs="Times New Roman"/>
          <w:sz w:val="20"/>
          <w:szCs w:val="20"/>
        </w:rPr>
        <w:lastRenderedPageBreak/>
        <w:t>shows that practices varied more than is generally assumed and that catechumens, because of their liminal position, were a disputed and essential group in the development of Christian communities until the 6th century at least. This book demonstrates that the catechumenate is key to understanding the processes of Christianisation and conversion in the West"—from Publisher</w:t>
      </w:r>
    </w:p>
    <w:p w14:paraId="560875A3" w14:textId="77777777" w:rsidR="0025304C" w:rsidRPr="0025304C" w:rsidRDefault="0025304C" w:rsidP="0025304C">
      <w:pPr>
        <w:spacing w:after="0" w:line="240" w:lineRule="auto"/>
        <w:jc w:val="both"/>
        <w:rPr>
          <w:rFonts w:ascii="Perpetua" w:eastAsia="Calibri" w:hAnsi="Perpetua" w:cs="Times New Roman"/>
          <w:color w:val="000000"/>
          <w:sz w:val="20"/>
          <w:szCs w:val="20"/>
        </w:rPr>
      </w:pPr>
      <w:r w:rsidRPr="0025304C">
        <w:rPr>
          <w:rFonts w:ascii="Perpetua" w:eastAsia="Calibri" w:hAnsi="Perpetua" w:cs="Calibri"/>
          <w:color w:val="000000"/>
          <w:sz w:val="20"/>
          <w:szCs w:val="20"/>
        </w:rPr>
        <w:br/>
      </w:r>
      <w:r w:rsidRPr="0025304C">
        <w:rPr>
          <w:rFonts w:ascii="Perpetua" w:eastAsia="Calibri" w:hAnsi="Perpetua" w:cs="Times New Roman"/>
          <w:b/>
          <w:bCs/>
          <w:i/>
          <w:iCs/>
          <w:color w:val="000000"/>
          <w:sz w:val="20"/>
          <w:szCs w:val="20"/>
        </w:rPr>
        <w:t>The Reception and Interpretation of the Bible in Christian North Africa. Volume 1, The Bible in Christian North Africa ; Part I: Commencement to the Confessions of Augustine (ca. 180 to 400 CE.)</w:t>
      </w:r>
      <w:r w:rsidRPr="0025304C">
        <w:rPr>
          <w:rFonts w:ascii="Perpetua" w:eastAsia="Calibri" w:hAnsi="Perpetua" w:cs="Times New Roman"/>
          <w:b/>
          <w:bCs/>
          <w:color w:val="000000"/>
          <w:sz w:val="20"/>
          <w:szCs w:val="20"/>
        </w:rPr>
        <w:t xml:space="preserve"> </w:t>
      </w:r>
      <w:r w:rsidRPr="0025304C">
        <w:rPr>
          <w:rFonts w:ascii="Perpetua" w:eastAsia="Calibri" w:hAnsi="Perpetua" w:cs="Times New Roman"/>
          <w:color w:val="000000"/>
          <w:sz w:val="20"/>
          <w:szCs w:val="20"/>
        </w:rPr>
        <w:t xml:space="preserve">Edited by Anthony Dupont and Jonathan Yates. Berlin: De Gruyter, 2020. $168.76. </w:t>
      </w:r>
      <w:hyperlink r:id="rId28" w:history="1">
        <w:r w:rsidRPr="0025304C">
          <w:rPr>
            <w:rFonts w:ascii="Perpetua" w:eastAsia="Calibri" w:hAnsi="Perpetua" w:cs="Times New Roman"/>
            <w:color w:val="0563C1"/>
            <w:sz w:val="20"/>
            <w:szCs w:val="20"/>
            <w:u w:val="single"/>
          </w:rPr>
          <w:t>www.amazon.com</w:t>
        </w:r>
      </w:hyperlink>
      <w:r w:rsidRPr="0025304C">
        <w:rPr>
          <w:rFonts w:ascii="Perpetua" w:eastAsia="Calibri" w:hAnsi="Perpetua" w:cs="Times New Roman"/>
          <w:color w:val="000000"/>
          <w:sz w:val="20"/>
          <w:szCs w:val="20"/>
        </w:rPr>
        <w:t>. ISBN-10: 1614517568; ISBN-13: 978-1614517566</w:t>
      </w:r>
    </w:p>
    <w:p w14:paraId="1D95C5E2" w14:textId="77777777" w:rsidR="0025304C" w:rsidRPr="0025304C" w:rsidRDefault="0025304C" w:rsidP="0025304C">
      <w:pPr>
        <w:spacing w:after="0" w:line="240" w:lineRule="auto"/>
        <w:ind w:firstLine="432"/>
        <w:jc w:val="both"/>
        <w:rPr>
          <w:rFonts w:ascii="Perpetua" w:eastAsia="Calibri" w:hAnsi="Perpetua" w:cs="Times New Roman"/>
          <w:color w:val="000000"/>
          <w:sz w:val="20"/>
          <w:szCs w:val="20"/>
        </w:rPr>
      </w:pPr>
      <w:r w:rsidRPr="0025304C">
        <w:rPr>
          <w:rFonts w:ascii="Perpetua" w:eastAsia="Calibri" w:hAnsi="Perpetua" w:cs="Times New Roman"/>
          <w:b/>
          <w:bCs/>
          <w:color w:val="000000"/>
          <w:sz w:val="20"/>
          <w:szCs w:val="20"/>
        </w:rPr>
        <w:t xml:space="preserve">Description: </w:t>
      </w:r>
      <w:r w:rsidRPr="0025304C">
        <w:rPr>
          <w:rFonts w:ascii="Perpetua" w:eastAsia="Calibri" w:hAnsi="Perpetua" w:cs="Times New Roman"/>
          <w:color w:val="000000"/>
          <w:sz w:val="20"/>
          <w:szCs w:val="20"/>
        </w:rPr>
        <w:t xml:space="preserve">This handbook explores the formation of Christianity in Northern Africa from the second century CE until the present. It focuses on the reception of Scripture in the life of the Church, the processes of decision making, the theological and philosophical reflections of the Church Fathers in various cultural contexts, and schismatic or heretical movements. Volume one covers the first four centuries up until the time of Augustine. </w:t>
      </w:r>
    </w:p>
    <w:p w14:paraId="15D53683" w14:textId="77777777" w:rsidR="0025304C" w:rsidRPr="0025304C" w:rsidRDefault="0025304C" w:rsidP="0025304C">
      <w:pPr>
        <w:spacing w:after="0" w:line="240" w:lineRule="auto"/>
        <w:jc w:val="both"/>
        <w:rPr>
          <w:rFonts w:ascii="Perpetua" w:eastAsia="Calibri" w:hAnsi="Perpetua" w:cs="Calibri"/>
          <w:color w:val="000000"/>
          <w:sz w:val="20"/>
          <w:szCs w:val="20"/>
        </w:rPr>
      </w:pPr>
      <w:r w:rsidRPr="0025304C">
        <w:rPr>
          <w:rFonts w:ascii="Perpetua" w:eastAsia="Calibri" w:hAnsi="Perpetua" w:cs="Calibri"/>
          <w:color w:val="000000"/>
          <w:sz w:val="20"/>
          <w:szCs w:val="20"/>
        </w:rPr>
        <w:br/>
      </w:r>
    </w:p>
    <w:p w14:paraId="2F98F70A" w14:textId="77777777" w:rsidR="0025304C" w:rsidRPr="0025304C" w:rsidRDefault="0025304C" w:rsidP="0025304C">
      <w:pPr>
        <w:spacing w:after="0" w:line="240" w:lineRule="auto"/>
        <w:jc w:val="both"/>
        <w:rPr>
          <w:rFonts w:ascii="Perpetua" w:eastAsia="Times New Roman" w:hAnsi="Perpetua" w:cs="Times New Roman"/>
          <w:color w:val="000000"/>
          <w:sz w:val="20"/>
          <w:szCs w:val="20"/>
        </w:rPr>
      </w:pPr>
      <w:r w:rsidRPr="0025304C">
        <w:rPr>
          <w:rFonts w:ascii="Perpetua" w:eastAsia="Times New Roman" w:hAnsi="Perpetua" w:cs="Times New Roman"/>
          <w:b/>
          <w:bCs/>
          <w:color w:val="000000"/>
          <w:sz w:val="20"/>
          <w:szCs w:val="20"/>
        </w:rPr>
        <w:t>Open Access Resources</w:t>
      </w:r>
    </w:p>
    <w:p w14:paraId="1A49FDFF" w14:textId="77777777" w:rsidR="0025304C" w:rsidRPr="0025304C" w:rsidRDefault="0025304C" w:rsidP="0025304C">
      <w:pPr>
        <w:spacing w:after="0" w:line="240" w:lineRule="auto"/>
        <w:jc w:val="both"/>
        <w:rPr>
          <w:rFonts w:ascii="Perpetua" w:eastAsia="Times New Roman" w:hAnsi="Perpetua" w:cs="Times New Roman"/>
          <w:color w:val="0563C1"/>
          <w:sz w:val="20"/>
          <w:szCs w:val="20"/>
          <w:u w:val="single"/>
        </w:rPr>
      </w:pPr>
      <w:r w:rsidRPr="0025304C">
        <w:rPr>
          <w:rFonts w:ascii="Perpetua" w:eastAsia="Times New Roman" w:hAnsi="Perpetua" w:cs="Times New Roman"/>
          <w:color w:val="000000"/>
          <w:sz w:val="20"/>
          <w:szCs w:val="20"/>
        </w:rPr>
        <w:t xml:space="preserve">Atukosi, Johnmacartan Abuchi. </w:t>
      </w:r>
      <w:r w:rsidRPr="0025304C">
        <w:rPr>
          <w:rFonts w:ascii="Perpetua" w:eastAsia="Times New Roman" w:hAnsi="Perpetua" w:cs="Times New Roman"/>
          <w:b/>
          <w:bCs/>
          <w:i/>
          <w:iCs/>
          <w:color w:val="000000"/>
          <w:sz w:val="20"/>
          <w:szCs w:val="20"/>
        </w:rPr>
        <w:t>The Coptic Separation from the Universal Church: the Causes and the Effects</w:t>
      </w:r>
      <w:r w:rsidRPr="0025304C">
        <w:rPr>
          <w:rFonts w:ascii="Perpetua" w:eastAsia="Times New Roman" w:hAnsi="Perpetua" w:cs="Times New Roman"/>
          <w:i/>
          <w:iCs/>
          <w:color w:val="000000"/>
          <w:sz w:val="20"/>
          <w:szCs w:val="20"/>
        </w:rPr>
        <w:t>.</w:t>
      </w:r>
      <w:r w:rsidRPr="0025304C">
        <w:rPr>
          <w:rFonts w:ascii="Perpetua" w:eastAsia="Times New Roman" w:hAnsi="Perpetua" w:cs="Times New Roman"/>
          <w:color w:val="000000"/>
          <w:sz w:val="20"/>
          <w:szCs w:val="20"/>
        </w:rPr>
        <w:t xml:space="preserve"> </w:t>
      </w:r>
      <w:r w:rsidRPr="0025304C">
        <w:rPr>
          <w:rFonts w:ascii="Perpetua" w:eastAsia="Times New Roman" w:hAnsi="Perpetua" w:cs="Times New Roman"/>
          <w:i/>
          <w:iCs/>
          <w:color w:val="000000"/>
          <w:sz w:val="20"/>
          <w:szCs w:val="20"/>
        </w:rPr>
        <w:t>Igwebuike: an African Journal of Arts &amp; Humanities.</w:t>
      </w:r>
      <w:r w:rsidRPr="0025304C">
        <w:rPr>
          <w:rFonts w:ascii="Perpetua" w:eastAsia="Times New Roman" w:hAnsi="Perpetua" w:cs="Times New Roman"/>
          <w:color w:val="000000"/>
          <w:sz w:val="20"/>
          <w:szCs w:val="20"/>
        </w:rPr>
        <w:t xml:space="preserve"> Vol. 7 No. 4, 2021. </w:t>
      </w:r>
      <w:hyperlink r:id="rId29" w:history="1">
        <w:r w:rsidRPr="0025304C">
          <w:rPr>
            <w:rFonts w:ascii="Perpetua" w:eastAsia="Times New Roman" w:hAnsi="Perpetua" w:cs="Times New Roman"/>
            <w:color w:val="0563C1"/>
            <w:sz w:val="20"/>
            <w:szCs w:val="20"/>
            <w:u w:val="single"/>
          </w:rPr>
          <w:t>https://www.acjol.org/index.php/iaajah/article/view/1427</w:t>
        </w:r>
      </w:hyperlink>
    </w:p>
    <w:p w14:paraId="23A1DE6E" w14:textId="77777777" w:rsidR="0025304C" w:rsidRPr="0025304C" w:rsidRDefault="0025304C" w:rsidP="0025304C">
      <w:pPr>
        <w:spacing w:after="0" w:line="240" w:lineRule="auto"/>
        <w:ind w:firstLine="432"/>
        <w:jc w:val="both"/>
        <w:rPr>
          <w:rFonts w:ascii="Perpetua" w:eastAsia="Times New Roman" w:hAnsi="Perpetua" w:cs="Times New Roman"/>
          <w:color w:val="000000"/>
          <w:sz w:val="20"/>
          <w:szCs w:val="20"/>
        </w:rPr>
      </w:pPr>
      <w:r w:rsidRPr="0025304C">
        <w:rPr>
          <w:rFonts w:ascii="Perpetua" w:eastAsia="Times New Roman" w:hAnsi="Perpetua" w:cs="Times New Roman"/>
          <w:b/>
          <w:bCs/>
          <w:color w:val="000000"/>
          <w:sz w:val="20"/>
          <w:szCs w:val="20"/>
        </w:rPr>
        <w:t xml:space="preserve">Abstract: </w:t>
      </w:r>
      <w:r w:rsidRPr="0025304C">
        <w:rPr>
          <w:rFonts w:ascii="Perpetua" w:eastAsia="Times New Roman" w:hAnsi="Perpetua" w:cs="Times New Roman"/>
          <w:color w:val="000000"/>
          <w:sz w:val="20"/>
          <w:szCs w:val="20"/>
        </w:rPr>
        <w:t>The seed of Christianity planted in the land of Egypt in 68 AD by Evangelist Mark sprouted and recorded a gigantic growth. Egypt became the powerhouse, the theological and catechetical centre of the universal church, at the height of which she prided herself above other churches, and separated from the agreed Christological definition arrived at by the universal church. As a lone church vulnerable to external aggressions, she fell prey to the Islamic jihadists who conquered her in 641 AD. The write up closely looks into the effects and causes of the separation. It discovers that the remote cause of this evil that bedeviled the Egyptian Church was pride and arrogance; and the pitfall should serve as a lesson to the contemporary Christian Churches.</w:t>
      </w:r>
    </w:p>
    <w:p w14:paraId="13DEDDAF" w14:textId="77777777" w:rsidR="0025304C" w:rsidRPr="0025304C" w:rsidRDefault="0025304C" w:rsidP="0025304C">
      <w:pPr>
        <w:spacing w:after="0" w:line="240" w:lineRule="auto"/>
        <w:jc w:val="both"/>
        <w:rPr>
          <w:rFonts w:ascii="Perpetua" w:eastAsia="Times New Roman" w:hAnsi="Perpetua" w:cs="Times New Roman"/>
          <w:color w:val="000000"/>
          <w:sz w:val="20"/>
          <w:szCs w:val="20"/>
        </w:rPr>
      </w:pPr>
    </w:p>
    <w:p w14:paraId="67EB2D22" w14:textId="77777777" w:rsidR="0025304C" w:rsidRPr="0025304C" w:rsidRDefault="0025304C" w:rsidP="0025304C">
      <w:pPr>
        <w:spacing w:after="0" w:line="240" w:lineRule="auto"/>
        <w:jc w:val="both"/>
        <w:rPr>
          <w:rFonts w:ascii="Perpetua" w:eastAsia="Calibri" w:hAnsi="Perpetua" w:cs="Times New Roman"/>
          <w:sz w:val="20"/>
          <w:szCs w:val="20"/>
        </w:rPr>
      </w:pPr>
      <w:r w:rsidRPr="0025304C">
        <w:rPr>
          <w:rFonts w:ascii="Perpetua" w:eastAsia="Calibri" w:hAnsi="Perpetua" w:cs="Times New Roman"/>
          <w:sz w:val="20"/>
          <w:szCs w:val="20"/>
        </w:rPr>
        <w:t xml:space="preserve">Hellemen, Wendy Elgersma. </w:t>
      </w:r>
      <w:r w:rsidRPr="0025304C">
        <w:rPr>
          <w:rFonts w:ascii="Perpetua" w:eastAsia="Calibri" w:hAnsi="Perpetua" w:cs="Times New Roman"/>
          <w:b/>
          <w:bCs/>
          <w:i/>
          <w:iCs/>
          <w:sz w:val="20"/>
          <w:szCs w:val="20"/>
        </w:rPr>
        <w:t>New Horizons in the Study of Early African Christianity</w:t>
      </w:r>
      <w:r w:rsidRPr="0025304C">
        <w:rPr>
          <w:rFonts w:ascii="Perpetua" w:eastAsia="Calibri" w:hAnsi="Perpetua" w:cs="Times New Roman"/>
          <w:b/>
          <w:bCs/>
          <w:sz w:val="20"/>
          <w:szCs w:val="20"/>
        </w:rPr>
        <w:t>.</w:t>
      </w:r>
      <w:r w:rsidRPr="0025304C">
        <w:rPr>
          <w:rFonts w:ascii="Perpetua" w:eastAsia="Calibri" w:hAnsi="Perpetua" w:cs="Times New Roman"/>
          <w:sz w:val="20"/>
          <w:szCs w:val="20"/>
        </w:rPr>
        <w:t xml:space="preserve"> </w:t>
      </w:r>
      <w:r w:rsidRPr="0025304C">
        <w:rPr>
          <w:rFonts w:ascii="Perpetua" w:eastAsia="Calibri" w:hAnsi="Perpetua" w:cs="Times New Roman"/>
          <w:i/>
          <w:iCs/>
          <w:sz w:val="20"/>
          <w:szCs w:val="20"/>
        </w:rPr>
        <w:t>Miscellenea,</w:t>
      </w:r>
      <w:r w:rsidRPr="0025304C">
        <w:rPr>
          <w:rFonts w:ascii="Perpetua" w:eastAsia="Calibri" w:hAnsi="Perpetua" w:cs="Times New Roman"/>
          <w:sz w:val="20"/>
          <w:szCs w:val="20"/>
        </w:rPr>
        <w:t xml:space="preserve"> Vol. 81, 2022. </w:t>
      </w:r>
      <w:hyperlink r:id="rId30" w:history="1">
        <w:r w:rsidRPr="0025304C">
          <w:rPr>
            <w:rFonts w:ascii="Perpetua" w:eastAsia="Calibri" w:hAnsi="Perpetua" w:cs="Times New Roman"/>
            <w:color w:val="0563C1"/>
            <w:sz w:val="20"/>
            <w:szCs w:val="20"/>
            <w:u w:val="single"/>
          </w:rPr>
          <w:t>https://doi.org/10.31743/vp.12958</w:t>
        </w:r>
      </w:hyperlink>
    </w:p>
    <w:p w14:paraId="442F51C9" w14:textId="77777777" w:rsidR="0025304C" w:rsidRPr="0025304C" w:rsidRDefault="0025304C" w:rsidP="0025304C">
      <w:pPr>
        <w:spacing w:after="0" w:line="240" w:lineRule="auto"/>
        <w:ind w:firstLine="432"/>
        <w:jc w:val="both"/>
        <w:rPr>
          <w:rFonts w:ascii="Perpetua" w:eastAsia="Calibri" w:hAnsi="Perpetua" w:cs="Times New Roman"/>
          <w:sz w:val="20"/>
          <w:szCs w:val="20"/>
        </w:rPr>
      </w:pPr>
      <w:r w:rsidRPr="0025304C">
        <w:rPr>
          <w:rFonts w:ascii="Perpetua" w:eastAsia="Calibri" w:hAnsi="Perpetua" w:cs="Times New Roman"/>
          <w:b/>
          <w:bCs/>
          <w:sz w:val="20"/>
          <w:szCs w:val="20"/>
        </w:rPr>
        <w:t xml:space="preserve">Abstract: </w:t>
      </w:r>
      <w:r w:rsidRPr="0025304C">
        <w:rPr>
          <w:rFonts w:ascii="Perpetua" w:eastAsia="Calibri" w:hAnsi="Perpetua" w:cs="Times New Roman"/>
          <w:sz w:val="20"/>
          <w:szCs w:val="20"/>
        </w:rPr>
        <w:t>Teaching early Christianity in Nigeria and elsewhere in Africa since 2002, has convinced this author how important it is for African Christians to know of the deep roots of Christianity in Africa, and recognize the important early African theologians, Tertullian, Origen, Athanasius and Augustine, just to name a few. This argument has a significant precedent among 19th century African Christians encouraged by the unbroken presence of Christianity from antiquity in Ethiopia. In the US, Thomas Oden promoted the study of pre-Islamic Christian Africa through the </w:t>
      </w:r>
      <w:r w:rsidRPr="0025304C">
        <w:rPr>
          <w:rFonts w:ascii="Perpetua" w:eastAsia="Calibri" w:hAnsi="Perpetua" w:cs="Times New Roman"/>
          <w:i/>
          <w:iCs/>
          <w:sz w:val="20"/>
          <w:szCs w:val="20"/>
        </w:rPr>
        <w:t>Centre for Early African Christianity</w:t>
      </w:r>
      <w:r w:rsidRPr="0025304C">
        <w:rPr>
          <w:rFonts w:ascii="Perpetua" w:eastAsia="Calibri" w:hAnsi="Perpetua" w:cs="Times New Roman"/>
          <w:sz w:val="20"/>
          <w:szCs w:val="20"/>
        </w:rPr>
        <w:t>, and publications like the series, </w:t>
      </w:r>
      <w:r w:rsidRPr="0025304C">
        <w:rPr>
          <w:rFonts w:ascii="Perpetua" w:eastAsia="Calibri" w:hAnsi="Perpetua" w:cs="Times New Roman"/>
          <w:i/>
          <w:iCs/>
          <w:sz w:val="20"/>
          <w:szCs w:val="20"/>
        </w:rPr>
        <w:t xml:space="preserve">Ancient Christian </w:t>
      </w:r>
      <w:r w:rsidRPr="0025304C">
        <w:rPr>
          <w:rFonts w:ascii="Perpetua" w:eastAsia="Calibri" w:hAnsi="Perpetua" w:cs="Times New Roman"/>
          <w:i/>
          <w:iCs/>
          <w:sz w:val="20"/>
          <w:szCs w:val="20"/>
        </w:rPr>
        <w:lastRenderedPageBreak/>
        <w:t>Commentary on Scripture</w:t>
      </w:r>
      <w:r w:rsidRPr="0025304C">
        <w:rPr>
          <w:rFonts w:ascii="Perpetua" w:eastAsia="Calibri" w:hAnsi="Perpetua" w:cs="Times New Roman"/>
          <w:sz w:val="20"/>
          <w:szCs w:val="20"/>
        </w:rPr>
        <w:t>. This Centre has also encouraged universities in Africa to get involved in deciphering archeological materials and documents from North African sites as evidence for Christianity from its earliest days; the study of such documents has recently been established at the University of Jos (Plateau State, Nigeria). These initiatives are doubly significant because Christianity is growing phenomenally throughout Africa and is often accused of being “a mile wide and an inch deep.”</w:t>
      </w:r>
    </w:p>
    <w:p w14:paraId="66615D17" w14:textId="77777777" w:rsidR="0025304C" w:rsidRPr="0025304C" w:rsidRDefault="0025304C" w:rsidP="0025304C">
      <w:pPr>
        <w:spacing w:after="0" w:line="240" w:lineRule="auto"/>
        <w:jc w:val="both"/>
        <w:rPr>
          <w:rFonts w:ascii="Perpetua" w:eastAsia="Calibri" w:hAnsi="Perpetua" w:cs="Times New Roman"/>
          <w:sz w:val="20"/>
          <w:szCs w:val="20"/>
        </w:rPr>
      </w:pPr>
    </w:p>
    <w:p w14:paraId="54E24488" w14:textId="77777777" w:rsidR="0025304C" w:rsidRDefault="0025304C" w:rsidP="00094737"/>
    <w:sectPr w:rsidR="0025304C" w:rsidSect="00AB75DF">
      <w:footerReference w:type="default" r:id="rId31"/>
      <w:pgSz w:w="7920" w:h="12240" w:orient="landscape"/>
      <w:pgMar w:top="864" w:right="864" w:bottom="864" w:left="86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80E19" w14:textId="77777777" w:rsidR="00363498" w:rsidRDefault="00363498" w:rsidP="00E210F5">
      <w:pPr>
        <w:spacing w:after="0" w:line="240" w:lineRule="auto"/>
      </w:pPr>
      <w:r>
        <w:separator/>
      </w:r>
    </w:p>
  </w:endnote>
  <w:endnote w:type="continuationSeparator" w:id="0">
    <w:p w14:paraId="7B7BB960" w14:textId="77777777" w:rsidR="00363498" w:rsidRDefault="00363498" w:rsidP="00E2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Lithos Pro Regular">
    <w:panose1 w:val="04020505030E02020A04"/>
    <w:charset w:val="00"/>
    <w:family w:val="decorative"/>
    <w:notTrueType/>
    <w:pitch w:val="variable"/>
    <w:sig w:usb0="00000087" w:usb1="00000000" w:usb2="00000000" w:usb3="00000000" w:csb0="0000009B"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648551"/>
      <w:docPartObj>
        <w:docPartGallery w:val="Page Numbers (Bottom of Page)"/>
        <w:docPartUnique/>
      </w:docPartObj>
    </w:sdtPr>
    <w:sdtEndPr>
      <w:rPr>
        <w:noProof/>
      </w:rPr>
    </w:sdtEndPr>
    <w:sdtContent>
      <w:p w14:paraId="52B80511" w14:textId="77777777" w:rsidR="00AB75DF" w:rsidRDefault="00AB75DF">
        <w:pPr>
          <w:pStyle w:val="Footer"/>
          <w:jc w:val="center"/>
        </w:pPr>
        <w:r>
          <w:fldChar w:fldCharType="begin"/>
        </w:r>
        <w:r>
          <w:instrText xml:space="preserve"> PAGE   \* MERGEFORMAT </w:instrText>
        </w:r>
        <w:r>
          <w:fldChar w:fldCharType="separate"/>
        </w:r>
        <w:r w:rsidR="003B6681">
          <w:rPr>
            <w:noProof/>
          </w:rPr>
          <w:t>4</w:t>
        </w:r>
        <w:r>
          <w:rPr>
            <w:noProof/>
          </w:rPr>
          <w:fldChar w:fldCharType="end"/>
        </w:r>
      </w:p>
    </w:sdtContent>
  </w:sdt>
  <w:p w14:paraId="78A7336A" w14:textId="77777777" w:rsidR="00AB75DF" w:rsidRDefault="00AB7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1D3BD" w14:textId="77777777" w:rsidR="00363498" w:rsidRDefault="00363498" w:rsidP="00E210F5">
      <w:pPr>
        <w:spacing w:after="0" w:line="240" w:lineRule="auto"/>
      </w:pPr>
      <w:r>
        <w:separator/>
      </w:r>
    </w:p>
  </w:footnote>
  <w:footnote w:type="continuationSeparator" w:id="0">
    <w:p w14:paraId="55B3AA7B" w14:textId="77777777" w:rsidR="00363498" w:rsidRDefault="00363498" w:rsidP="00E210F5">
      <w:pPr>
        <w:spacing w:after="0" w:line="240" w:lineRule="auto"/>
      </w:pPr>
      <w:r>
        <w:continuationSeparator/>
      </w:r>
    </w:p>
  </w:footnote>
  <w:footnote w:id="1">
    <w:p w14:paraId="133A0C85" w14:textId="77777777" w:rsidR="00C03E40" w:rsidRPr="00E90594" w:rsidRDefault="00C03E40" w:rsidP="00C03E40">
      <w:pPr>
        <w:spacing w:after="0" w:line="240" w:lineRule="auto"/>
        <w:rPr>
          <w:rFonts w:ascii="Perpetua" w:hAnsi="Perpetua"/>
          <w:sz w:val="18"/>
          <w:szCs w:val="18"/>
        </w:rPr>
      </w:pPr>
      <w:r w:rsidRPr="00E90594">
        <w:rPr>
          <w:rStyle w:val="FootnoteReference"/>
          <w:rFonts w:ascii="Perpetua" w:hAnsi="Perpetua"/>
          <w:sz w:val="18"/>
          <w:szCs w:val="18"/>
        </w:rPr>
        <w:footnoteRef/>
      </w:r>
      <w:r w:rsidRPr="00E90594">
        <w:rPr>
          <w:rFonts w:ascii="Perpetua" w:hAnsi="Perpetua"/>
          <w:sz w:val="18"/>
          <w:szCs w:val="18"/>
        </w:rPr>
        <w:t xml:space="preserve"> </w:t>
      </w:r>
      <w:r w:rsidRPr="00E90594">
        <w:rPr>
          <w:rFonts w:ascii="Perpetua" w:hAnsi="Perpetua" w:cs="Times New Roman"/>
          <w:color w:val="000000"/>
          <w:sz w:val="18"/>
          <w:szCs w:val="18"/>
        </w:rPr>
        <w:t xml:space="preserve">Michael Glerup, PhD, is Executive Director of the </w:t>
      </w:r>
      <w:r w:rsidRPr="00A46EBA">
        <w:rPr>
          <w:rFonts w:ascii="Perpetua" w:hAnsi="Perpetua" w:cs="Times New Roman"/>
          <w:color w:val="000000"/>
          <w:sz w:val="18"/>
          <w:szCs w:val="18"/>
        </w:rPr>
        <w:t>Center for Early African Christianity</w:t>
      </w:r>
      <w:r w:rsidRPr="00E90594">
        <w:rPr>
          <w:rFonts w:ascii="Perpetua" w:hAnsi="Perpetua" w:cs="Times New Roman"/>
          <w:color w:val="000000"/>
          <w:sz w:val="18"/>
          <w:szCs w:val="18"/>
        </w:rPr>
        <w:t xml:space="preserve"> and General Editor of the </w:t>
      </w:r>
      <w:r w:rsidRPr="00E90594">
        <w:rPr>
          <w:rFonts w:ascii="Perpetua" w:hAnsi="Perpetua" w:cs="Times New Roman"/>
          <w:i/>
          <w:iCs/>
          <w:color w:val="000000"/>
          <w:sz w:val="18"/>
          <w:szCs w:val="18"/>
        </w:rPr>
        <w:t>Ancient Christian Texts</w:t>
      </w:r>
      <w:r w:rsidRPr="00E90594">
        <w:rPr>
          <w:rFonts w:ascii="Perpetua" w:hAnsi="Perpetua" w:cs="Times New Roman"/>
          <w:color w:val="000000"/>
          <w:sz w:val="18"/>
          <w:szCs w:val="18"/>
        </w:rPr>
        <w:t xml:space="preserve"> series published by InterVarsity Press.</w:t>
      </w:r>
    </w:p>
  </w:footnote>
  <w:footnote w:id="2">
    <w:p w14:paraId="34FEF720" w14:textId="77777777" w:rsidR="00C03E40" w:rsidRPr="00E90594" w:rsidRDefault="00C03E40" w:rsidP="00C03E40">
      <w:pPr>
        <w:pStyle w:val="FootnoteText"/>
        <w:rPr>
          <w:rFonts w:ascii="Perpetua" w:hAnsi="Perpetua"/>
          <w:sz w:val="18"/>
          <w:szCs w:val="18"/>
        </w:rPr>
      </w:pPr>
      <w:r w:rsidRPr="00E90594">
        <w:rPr>
          <w:rStyle w:val="FootnoteReference"/>
          <w:rFonts w:ascii="Perpetua" w:hAnsi="Perpetua"/>
          <w:sz w:val="18"/>
          <w:szCs w:val="18"/>
        </w:rPr>
        <w:footnoteRef/>
      </w:r>
      <w:r w:rsidRPr="00E90594">
        <w:rPr>
          <w:rFonts w:ascii="Perpetua" w:hAnsi="Perpetua"/>
          <w:sz w:val="18"/>
          <w:szCs w:val="18"/>
        </w:rPr>
        <w:t xml:space="preserve"> Thomas</w:t>
      </w:r>
      <w:r>
        <w:rPr>
          <w:rFonts w:ascii="Perpetua" w:hAnsi="Perpetua"/>
          <w:sz w:val="18"/>
          <w:szCs w:val="18"/>
        </w:rPr>
        <w:t xml:space="preserve"> C. Oden,</w:t>
      </w:r>
      <w:r w:rsidRPr="00E90594">
        <w:rPr>
          <w:rFonts w:ascii="Perpetua" w:hAnsi="Perpetua"/>
          <w:sz w:val="18"/>
          <w:szCs w:val="18"/>
        </w:rPr>
        <w:t xml:space="preserve"> </w:t>
      </w:r>
      <w:r w:rsidRPr="00E90594">
        <w:rPr>
          <w:rFonts w:ascii="Perpetua" w:hAnsi="Perpetua"/>
          <w:i/>
          <w:iCs/>
          <w:sz w:val="18"/>
          <w:szCs w:val="18"/>
        </w:rPr>
        <w:t>A Change of Heart</w:t>
      </w:r>
      <w:r w:rsidRPr="00E90594">
        <w:rPr>
          <w:rFonts w:ascii="Perpetua" w:hAnsi="Perpetua"/>
          <w:sz w:val="18"/>
          <w:szCs w:val="18"/>
        </w:rPr>
        <w:t xml:space="preserve"> (Downers Grove: InterVarsity Press, 2014): 136-</w:t>
      </w:r>
      <w:r>
        <w:rPr>
          <w:rFonts w:ascii="Perpetua" w:hAnsi="Perpetua"/>
          <w:sz w:val="18"/>
          <w:szCs w:val="18"/>
        </w:rPr>
        <w:t>13</w:t>
      </w:r>
      <w:r w:rsidRPr="00E90594">
        <w:rPr>
          <w:rFonts w:ascii="Perpetua" w:hAnsi="Perpetua"/>
          <w:sz w:val="18"/>
          <w:szCs w:val="18"/>
        </w:rPr>
        <w:t>7.</w:t>
      </w:r>
    </w:p>
  </w:footnote>
  <w:footnote w:id="3">
    <w:p w14:paraId="345B51EE" w14:textId="77777777" w:rsidR="00C03E40" w:rsidRPr="00E90594" w:rsidRDefault="00C03E40" w:rsidP="00C03E40">
      <w:pPr>
        <w:pStyle w:val="FootnoteText"/>
        <w:rPr>
          <w:rFonts w:ascii="Perpetua" w:hAnsi="Perpetua"/>
          <w:sz w:val="18"/>
          <w:szCs w:val="18"/>
        </w:rPr>
      </w:pPr>
      <w:r w:rsidRPr="00E90594">
        <w:rPr>
          <w:rStyle w:val="FootnoteReference"/>
          <w:rFonts w:ascii="Perpetua" w:hAnsi="Perpetua"/>
          <w:sz w:val="18"/>
          <w:szCs w:val="18"/>
        </w:rPr>
        <w:footnoteRef/>
      </w:r>
      <w:r w:rsidRPr="00E90594">
        <w:rPr>
          <w:rFonts w:ascii="Perpetua" w:hAnsi="Perpetua"/>
          <w:sz w:val="18"/>
          <w:szCs w:val="18"/>
        </w:rPr>
        <w:t xml:space="preserve"> Thomas C.</w:t>
      </w:r>
      <w:r>
        <w:rPr>
          <w:rFonts w:ascii="Perpetua" w:hAnsi="Perpetua"/>
          <w:sz w:val="18"/>
          <w:szCs w:val="18"/>
        </w:rPr>
        <w:t xml:space="preserve"> Oden,</w:t>
      </w:r>
      <w:r w:rsidRPr="00E90594">
        <w:rPr>
          <w:rFonts w:ascii="Perpetua" w:hAnsi="Perpetua"/>
          <w:sz w:val="18"/>
          <w:szCs w:val="18"/>
        </w:rPr>
        <w:t xml:space="preserve"> </w:t>
      </w:r>
      <w:r w:rsidRPr="00E90594">
        <w:rPr>
          <w:rFonts w:ascii="Perpetua" w:hAnsi="Perpetua"/>
          <w:i/>
          <w:sz w:val="18"/>
          <w:szCs w:val="18"/>
        </w:rPr>
        <w:t>How Africa Shaped the Christian Mind: Rediscovering the African Seedbed of Western Christianity</w:t>
      </w:r>
      <w:r w:rsidRPr="00E90594">
        <w:rPr>
          <w:rFonts w:ascii="Perpetua" w:hAnsi="Perpetua"/>
          <w:sz w:val="18"/>
          <w:szCs w:val="18"/>
        </w:rPr>
        <w:t xml:space="preserve"> (Downers Grove: InterVarsity Press, 2007): 45-</w:t>
      </w:r>
      <w:r w:rsidRPr="00A54639">
        <w:rPr>
          <w:rFonts w:ascii="Perpetua" w:hAnsi="Perpetua"/>
          <w:sz w:val="18"/>
          <w:szCs w:val="18"/>
        </w:rPr>
        <w:t>4</w:t>
      </w:r>
      <w:r w:rsidRPr="00E90594">
        <w:rPr>
          <w:rFonts w:ascii="Perpetua" w:hAnsi="Perpetua"/>
          <w:sz w:val="18"/>
          <w:szCs w:val="18"/>
        </w:rPr>
        <w:t>6.</w:t>
      </w:r>
    </w:p>
  </w:footnote>
  <w:footnote w:id="4">
    <w:p w14:paraId="61F862E5" w14:textId="753C47B4" w:rsidR="008C0875" w:rsidRPr="008C0875" w:rsidRDefault="008C0875" w:rsidP="00C03E40">
      <w:pPr>
        <w:spacing w:after="0" w:line="240" w:lineRule="auto"/>
        <w:jc w:val="both"/>
        <w:rPr>
          <w:rFonts w:ascii="Perpetua" w:hAnsi="Perpetua"/>
          <w:sz w:val="18"/>
          <w:szCs w:val="18"/>
        </w:rPr>
      </w:pPr>
      <w:r w:rsidRPr="008C0875">
        <w:rPr>
          <w:rStyle w:val="FootnoteReference"/>
          <w:rFonts w:ascii="Perpetua" w:hAnsi="Perpetua"/>
          <w:sz w:val="18"/>
          <w:szCs w:val="18"/>
        </w:rPr>
        <w:footnoteRef/>
      </w:r>
      <w:r w:rsidRPr="008C0875">
        <w:rPr>
          <w:rFonts w:ascii="Perpetua" w:hAnsi="Perpetua"/>
          <w:sz w:val="18"/>
          <w:szCs w:val="18"/>
        </w:rPr>
        <w:t xml:space="preserve"> </w:t>
      </w:r>
      <w:r w:rsidRPr="008C0875">
        <w:rPr>
          <w:rFonts w:ascii="Perpetua" w:eastAsia="Calibri" w:hAnsi="Perpetua" w:cs="Times New Roman"/>
          <w:kern w:val="2"/>
          <w:sz w:val="18"/>
          <w:szCs w:val="18"/>
          <w14:ligatures w14:val="standardContextual"/>
        </w:rPr>
        <w:t>“Does Early African Christianity Matter Today?”</w:t>
      </w:r>
      <w:r w:rsidR="00542CC4">
        <w:rPr>
          <w:rFonts w:ascii="Perpetua" w:eastAsia="Calibri" w:hAnsi="Perpetua" w:cs="Times New Roman"/>
          <w:kern w:val="2"/>
          <w:sz w:val="18"/>
          <w:szCs w:val="18"/>
          <w14:ligatures w14:val="standardContextual"/>
        </w:rPr>
        <w:t xml:space="preserve"> by </w:t>
      </w:r>
      <w:r w:rsidRPr="008C0875">
        <w:rPr>
          <w:rFonts w:ascii="Perpetua" w:eastAsia="Calibri" w:hAnsi="Perpetua" w:cs="Times New Roman"/>
          <w:kern w:val="2"/>
          <w:sz w:val="18"/>
          <w:szCs w:val="18"/>
          <w14:ligatures w14:val="standardContextual"/>
        </w:rPr>
        <w:t xml:space="preserve">Andrew F. Walls (April </w:t>
      </w:r>
      <w:r w:rsidR="00542CC4">
        <w:rPr>
          <w:rFonts w:ascii="Perpetua" w:eastAsia="Calibri" w:hAnsi="Perpetua" w:cs="Times New Roman"/>
          <w:kern w:val="2"/>
          <w:sz w:val="18"/>
          <w:szCs w:val="18"/>
          <w14:ligatures w14:val="standardContextual"/>
        </w:rPr>
        <w:t xml:space="preserve">21, </w:t>
      </w:r>
      <w:r w:rsidRPr="008C0875">
        <w:rPr>
          <w:rFonts w:ascii="Perpetua" w:eastAsia="Calibri" w:hAnsi="Perpetua" w:cs="Times New Roman"/>
          <w:kern w:val="2"/>
          <w:sz w:val="18"/>
          <w:szCs w:val="18"/>
          <w14:ligatures w14:val="standardContextual"/>
        </w:rPr>
        <w:t xml:space="preserve">1928 – August </w:t>
      </w:r>
      <w:r w:rsidR="00542CC4">
        <w:rPr>
          <w:rFonts w:ascii="Perpetua" w:eastAsia="Calibri" w:hAnsi="Perpetua" w:cs="Times New Roman"/>
          <w:kern w:val="2"/>
          <w:sz w:val="18"/>
          <w:szCs w:val="18"/>
          <w14:ligatures w14:val="standardContextual"/>
        </w:rPr>
        <w:t xml:space="preserve">12, </w:t>
      </w:r>
      <w:r w:rsidRPr="008C0875">
        <w:rPr>
          <w:rFonts w:ascii="Perpetua" w:eastAsia="Calibri" w:hAnsi="Perpetua" w:cs="Times New Roman"/>
          <w:kern w:val="2"/>
          <w:sz w:val="18"/>
          <w:szCs w:val="18"/>
          <w14:ligatures w14:val="standardContextual"/>
        </w:rPr>
        <w:t>2021)</w:t>
      </w:r>
      <w:r w:rsidR="00542CC4">
        <w:rPr>
          <w:rFonts w:ascii="Perpetua" w:eastAsia="Calibri" w:hAnsi="Perpetua" w:cs="Times New Roman"/>
          <w:kern w:val="2"/>
          <w:sz w:val="18"/>
          <w:szCs w:val="18"/>
          <w14:ligatures w14:val="standardContextual"/>
        </w:rPr>
        <w:t xml:space="preserve">. </w:t>
      </w:r>
      <w:r w:rsidRPr="008C0875">
        <w:rPr>
          <w:rFonts w:ascii="Perpetua" w:eastAsia="Calibri" w:hAnsi="Perpetua" w:cs="Times New Roman"/>
          <w:kern w:val="2"/>
          <w:sz w:val="18"/>
          <w:szCs w:val="18"/>
          <w14:ligatures w14:val="standardContextual"/>
        </w:rPr>
        <w:t>Lecture delivered on 14 April 2021 for the maiden Walls-Oden-Bediako Lecture in Early African Christianity jointly organized by Center for Early African Christianity, New Haven, CT, USA and the now Andrew F. Walls Centre for the Study of Early African Christianity, Akrofi-Christaller Institute of Theology, Mission and Culture, Akropong-Akuapem, Ghana.</w:t>
      </w:r>
      <w:r w:rsidR="00542CC4">
        <w:rPr>
          <w:rFonts w:ascii="Perpetua" w:eastAsia="Calibri" w:hAnsi="Perpetua" w:cs="Times New Roman"/>
          <w:kern w:val="2"/>
          <w:sz w:val="18"/>
          <w:szCs w:val="18"/>
          <w14:ligatures w14:val="standardContextual"/>
        </w:rPr>
        <w:t xml:space="preserve"> </w:t>
      </w:r>
      <w:r w:rsidRPr="008C0875">
        <w:rPr>
          <w:rFonts w:ascii="Perpetua" w:eastAsia="Calibri" w:hAnsi="Perpetua" w:cs="Times New Roman"/>
          <w:kern w:val="2"/>
          <w:sz w:val="18"/>
          <w:szCs w:val="18"/>
          <w14:ligatures w14:val="standardContextual"/>
        </w:rPr>
        <w:t xml:space="preserve">© Published with kind permission from </w:t>
      </w:r>
      <w:r w:rsidR="00175393">
        <w:rPr>
          <w:rFonts w:ascii="Perpetua" w:eastAsia="Calibri" w:hAnsi="Perpetua" w:cs="Times New Roman"/>
          <w:kern w:val="2"/>
          <w:sz w:val="18"/>
          <w:szCs w:val="18"/>
          <w14:ligatures w14:val="standardContextual"/>
        </w:rPr>
        <w:t xml:space="preserve">the widow, </w:t>
      </w:r>
      <w:r w:rsidRPr="008C0875">
        <w:rPr>
          <w:rFonts w:ascii="Perpetua" w:eastAsia="Calibri" w:hAnsi="Perpetua" w:cs="Times New Roman"/>
          <w:kern w:val="2"/>
          <w:sz w:val="18"/>
          <w:szCs w:val="18"/>
          <w14:ligatures w14:val="standardContextual"/>
        </w:rPr>
        <w:t>Dr. Ingrid R. Walls.</w:t>
      </w:r>
    </w:p>
  </w:footnote>
  <w:footnote w:id="5">
    <w:p w14:paraId="1ACAAC01" w14:textId="77777777" w:rsidR="008C0875" w:rsidRPr="008C0875" w:rsidRDefault="008C0875" w:rsidP="00C03E40">
      <w:pPr>
        <w:pStyle w:val="FootnoteText"/>
        <w:rPr>
          <w:rFonts w:ascii="Perpetua" w:hAnsi="Perpetua"/>
          <w:sz w:val="18"/>
          <w:szCs w:val="18"/>
        </w:rPr>
      </w:pPr>
      <w:r w:rsidRPr="008C0875">
        <w:rPr>
          <w:rStyle w:val="FootnoteReference"/>
          <w:rFonts w:ascii="Perpetua" w:hAnsi="Perpetua"/>
          <w:sz w:val="18"/>
          <w:szCs w:val="18"/>
        </w:rPr>
        <w:footnoteRef/>
      </w:r>
      <w:r w:rsidRPr="008C0875">
        <w:rPr>
          <w:rFonts w:ascii="Perpetua" w:hAnsi="Perpetua"/>
          <w:sz w:val="18"/>
          <w:szCs w:val="18"/>
        </w:rPr>
        <w:t xml:space="preserve"> Thomas C. Oden, </w:t>
      </w:r>
      <w:r w:rsidRPr="008C0875">
        <w:rPr>
          <w:rFonts w:ascii="Perpetua" w:hAnsi="Perpetua"/>
          <w:i/>
          <w:iCs/>
          <w:sz w:val="18"/>
          <w:szCs w:val="18"/>
        </w:rPr>
        <w:t>How Africa Shaped the Christian Mind</w:t>
      </w:r>
      <w:r w:rsidRPr="008C0875">
        <w:rPr>
          <w:rFonts w:ascii="Perpetua" w:hAnsi="Perpetua"/>
          <w:sz w:val="18"/>
          <w:szCs w:val="18"/>
        </w:rPr>
        <w:t>, (Downers Grove: IVP Books, 2007).</w:t>
      </w:r>
    </w:p>
  </w:footnote>
  <w:footnote w:id="6">
    <w:p w14:paraId="6C3562F3" w14:textId="77777777" w:rsidR="008C0875" w:rsidRPr="008C0875" w:rsidRDefault="008C0875" w:rsidP="00C03E40">
      <w:pPr>
        <w:pStyle w:val="FootnoteText"/>
        <w:rPr>
          <w:rFonts w:ascii="Perpetua" w:hAnsi="Perpetua"/>
          <w:sz w:val="18"/>
          <w:szCs w:val="18"/>
        </w:rPr>
      </w:pPr>
      <w:r w:rsidRPr="008C0875">
        <w:rPr>
          <w:rStyle w:val="FootnoteReference"/>
          <w:rFonts w:ascii="Perpetua" w:hAnsi="Perpetua"/>
          <w:sz w:val="18"/>
          <w:szCs w:val="18"/>
        </w:rPr>
        <w:footnoteRef/>
      </w:r>
      <w:r w:rsidRPr="008C0875">
        <w:rPr>
          <w:rFonts w:ascii="Perpetua" w:hAnsi="Perpetua"/>
          <w:sz w:val="18"/>
          <w:szCs w:val="18"/>
        </w:rPr>
        <w:t xml:space="preserve"> Kwame Bediako, </w:t>
      </w:r>
      <w:r w:rsidRPr="008C0875">
        <w:rPr>
          <w:rFonts w:ascii="Perpetua" w:hAnsi="Perpetua"/>
          <w:i/>
          <w:iCs/>
          <w:sz w:val="18"/>
          <w:szCs w:val="18"/>
        </w:rPr>
        <w:t>Theology and Identity: The Impact of Culture upon Christian Thought in the Second Century and in Modern Africa</w:t>
      </w:r>
      <w:r w:rsidRPr="008C0875">
        <w:rPr>
          <w:rFonts w:ascii="Perpetua" w:hAnsi="Perpetua"/>
          <w:sz w:val="18"/>
          <w:szCs w:val="18"/>
        </w:rPr>
        <w:t xml:space="preserve"> (Oxford: Regnum Books, 1999).</w:t>
      </w:r>
    </w:p>
  </w:footnote>
  <w:footnote w:id="7">
    <w:p w14:paraId="6E1E3DB0" w14:textId="77777777" w:rsidR="00A81E76" w:rsidRPr="00C74A3D" w:rsidRDefault="00A81E76" w:rsidP="00C03E40">
      <w:pPr>
        <w:spacing w:after="0" w:line="240" w:lineRule="auto"/>
        <w:rPr>
          <w:rFonts w:ascii="Perpetua" w:hAnsi="Perpetua"/>
          <w:sz w:val="18"/>
          <w:szCs w:val="18"/>
        </w:rPr>
      </w:pPr>
      <w:r w:rsidRPr="00C74A3D">
        <w:rPr>
          <w:rStyle w:val="FootnoteReference"/>
          <w:rFonts w:ascii="Perpetua" w:hAnsi="Perpetua"/>
          <w:sz w:val="18"/>
          <w:szCs w:val="18"/>
        </w:rPr>
        <w:footnoteRef/>
      </w:r>
      <w:r w:rsidRPr="00C74A3D">
        <w:rPr>
          <w:rFonts w:ascii="Perpetua" w:hAnsi="Perpetua"/>
          <w:sz w:val="18"/>
          <w:szCs w:val="18"/>
        </w:rPr>
        <w:t xml:space="preserve"> For recent discussions of technical issues on Mark’s Gospel, see Ernest E. Best, </w:t>
      </w:r>
      <w:r w:rsidRPr="00C74A3D">
        <w:rPr>
          <w:rFonts w:ascii="Perpetua" w:hAnsi="Perpetua"/>
          <w:i/>
          <w:iCs/>
          <w:sz w:val="18"/>
          <w:szCs w:val="18"/>
        </w:rPr>
        <w:t>The Gospel as Story</w:t>
      </w:r>
      <w:r w:rsidRPr="00C74A3D">
        <w:rPr>
          <w:rFonts w:ascii="Perpetua" w:hAnsi="Perpetua"/>
          <w:sz w:val="18"/>
          <w:szCs w:val="18"/>
        </w:rPr>
        <w:t xml:space="preserve"> (Edinburgh: T &amp; T Clark, 1983); John R. Donahue and Daniel J. Harrington, </w:t>
      </w:r>
      <w:r w:rsidRPr="00C74A3D">
        <w:rPr>
          <w:rFonts w:ascii="Perpetua" w:hAnsi="Perpetua"/>
          <w:i/>
          <w:iCs/>
          <w:sz w:val="18"/>
          <w:szCs w:val="18"/>
        </w:rPr>
        <w:t>The Gospel of Mark</w:t>
      </w:r>
      <w:r w:rsidRPr="00C74A3D">
        <w:rPr>
          <w:rFonts w:ascii="Perpetua" w:hAnsi="Perpetua"/>
          <w:sz w:val="18"/>
          <w:szCs w:val="18"/>
        </w:rPr>
        <w:t xml:space="preserve"> (Collegeville, Minn.: Liturgical, 2002); W. R. Telford, </w:t>
      </w:r>
      <w:r w:rsidRPr="00C74A3D">
        <w:rPr>
          <w:rFonts w:ascii="Perpetua" w:hAnsi="Perpetua"/>
          <w:i/>
          <w:iCs/>
          <w:sz w:val="18"/>
          <w:szCs w:val="18"/>
        </w:rPr>
        <w:t>The Theology of the Gospel of Mark, New Testament Theology</w:t>
      </w:r>
      <w:r w:rsidRPr="00C74A3D">
        <w:rPr>
          <w:rFonts w:ascii="Perpetua" w:hAnsi="Perpetua"/>
          <w:sz w:val="18"/>
          <w:szCs w:val="18"/>
        </w:rPr>
        <w:t xml:space="preserve"> (Cambridge: Cambridge University Press, 1999); Ben With- erington III, </w:t>
      </w:r>
      <w:r w:rsidRPr="00C74A3D">
        <w:rPr>
          <w:rFonts w:ascii="Perpetua" w:hAnsi="Perpetua"/>
          <w:i/>
          <w:iCs/>
          <w:sz w:val="18"/>
          <w:szCs w:val="18"/>
        </w:rPr>
        <w:t>The Gospel of Mark: A Socio-Rhetorical Commentary</w:t>
      </w:r>
      <w:r w:rsidRPr="00C74A3D">
        <w:rPr>
          <w:rFonts w:ascii="Perpetua" w:hAnsi="Perpetua"/>
          <w:sz w:val="18"/>
          <w:szCs w:val="18"/>
        </w:rPr>
        <w:t xml:space="preserve"> (Grand Rapids: Eerdmans, 2001).</w:t>
      </w:r>
    </w:p>
    <w:p w14:paraId="193188C5" w14:textId="77777777" w:rsidR="00A81E76" w:rsidRPr="00C74A3D" w:rsidRDefault="00A81E76" w:rsidP="00C03E40">
      <w:pPr>
        <w:pStyle w:val="FootnoteText"/>
        <w:rPr>
          <w:rFonts w:ascii="Perpetua" w:hAnsi="Perpetua"/>
          <w:sz w:val="18"/>
          <w:szCs w:val="18"/>
        </w:rPr>
      </w:pPr>
    </w:p>
  </w:footnote>
  <w:footnote w:id="8">
    <w:p w14:paraId="1C589C8D" w14:textId="77777777" w:rsidR="00A81E76" w:rsidRPr="00C74A3D" w:rsidRDefault="00A81E76" w:rsidP="00C03E40">
      <w:pPr>
        <w:spacing w:after="0" w:line="240" w:lineRule="auto"/>
        <w:rPr>
          <w:rFonts w:ascii="Perpetua" w:hAnsi="Perpetua"/>
          <w:sz w:val="18"/>
          <w:szCs w:val="18"/>
        </w:rPr>
      </w:pPr>
      <w:r w:rsidRPr="00C74A3D">
        <w:rPr>
          <w:rStyle w:val="FootnoteReference"/>
          <w:rFonts w:ascii="Perpetua" w:hAnsi="Perpetua"/>
          <w:sz w:val="18"/>
          <w:szCs w:val="18"/>
        </w:rPr>
        <w:footnoteRef/>
      </w:r>
      <w:r w:rsidRPr="00C74A3D">
        <w:rPr>
          <w:rFonts w:ascii="Perpetua" w:hAnsi="Perpetua"/>
          <w:sz w:val="18"/>
          <w:szCs w:val="18"/>
        </w:rPr>
        <w:t xml:space="preserve"> For discussions of Egyptian and other African martyrs and saints, see Theofried Baumeister, </w:t>
      </w:r>
      <w:r w:rsidRPr="000A711E">
        <w:rPr>
          <w:rFonts w:ascii="Perpetua" w:hAnsi="Perpetua"/>
          <w:i/>
          <w:iCs/>
          <w:sz w:val="18"/>
          <w:szCs w:val="18"/>
        </w:rPr>
        <w:t>Martyr invictus</w:t>
      </w:r>
      <w:r w:rsidRPr="00C74A3D">
        <w:rPr>
          <w:rFonts w:ascii="Perpetua" w:hAnsi="Perpetua"/>
          <w:sz w:val="18"/>
          <w:szCs w:val="18"/>
        </w:rPr>
        <w:t xml:space="preserve"> (Münster: Regensberg, 1972); Hippolyte Delehaye, “Les martyrs d’Égypte,” </w:t>
      </w:r>
      <w:r w:rsidRPr="000A711E">
        <w:rPr>
          <w:rFonts w:ascii="Perpetua" w:hAnsi="Perpetua"/>
          <w:i/>
          <w:iCs/>
          <w:sz w:val="18"/>
          <w:szCs w:val="18"/>
        </w:rPr>
        <w:t>Analecta Bollandiana</w:t>
      </w:r>
      <w:r w:rsidRPr="00C74A3D">
        <w:rPr>
          <w:rFonts w:ascii="Perpetua" w:hAnsi="Perpetua"/>
          <w:sz w:val="18"/>
          <w:szCs w:val="18"/>
        </w:rPr>
        <w:t xml:space="preserve"> 40 (1922): 5-154, 299-364; De Lacy O’Leary, </w:t>
      </w:r>
      <w:r w:rsidRPr="000A711E">
        <w:rPr>
          <w:rFonts w:ascii="Perpetua" w:hAnsi="Perpetua"/>
          <w:i/>
          <w:iCs/>
          <w:sz w:val="18"/>
          <w:szCs w:val="18"/>
        </w:rPr>
        <w:t>The Saints of Egypt</w:t>
      </w:r>
      <w:r w:rsidRPr="00C74A3D">
        <w:rPr>
          <w:rFonts w:ascii="Perpetua" w:hAnsi="Perpetua"/>
          <w:sz w:val="18"/>
          <w:szCs w:val="18"/>
        </w:rPr>
        <w:t xml:space="preserve"> (1937; repr., Whitefish, Mont: Kessinger, 2005); Tito Orlandi, “Hagiography,” in </w:t>
      </w:r>
      <w:r w:rsidRPr="000A711E">
        <w:rPr>
          <w:rFonts w:ascii="Perpetua" w:hAnsi="Perpetua"/>
          <w:i/>
          <w:iCs/>
          <w:sz w:val="18"/>
          <w:szCs w:val="18"/>
        </w:rPr>
        <w:t>The Coptic Encyclopedia</w:t>
      </w:r>
      <w:r w:rsidRPr="00C74A3D">
        <w:rPr>
          <w:rFonts w:ascii="Perpetua" w:hAnsi="Perpetua"/>
          <w:sz w:val="18"/>
          <w:szCs w:val="18"/>
        </w:rPr>
        <w:t xml:space="preserve">, ed. Aziz S. Atiya, 8 vols. (New York: Maxwell Macmillan International, 1991), 4:1191- 97; idem, “La patrologia copta,” in </w:t>
      </w:r>
      <w:r w:rsidRPr="00C74A3D">
        <w:rPr>
          <w:rFonts w:ascii="Perpetua" w:hAnsi="Perpetua"/>
          <w:i/>
          <w:iCs/>
          <w:sz w:val="18"/>
          <w:szCs w:val="18"/>
        </w:rPr>
        <w:t>Complementi interdisciplinari di patrologia,</w:t>
      </w:r>
      <w:r w:rsidRPr="00C74A3D">
        <w:rPr>
          <w:rFonts w:ascii="Perpetua" w:hAnsi="Perpetua"/>
          <w:sz w:val="18"/>
          <w:szCs w:val="18"/>
        </w:rPr>
        <w:t xml:space="preserve"> ed. Antonio Quacquarelli (Rome: Città Nuova, 1989), 457-502; idem, </w:t>
      </w:r>
      <w:r w:rsidRPr="00C74A3D">
        <w:rPr>
          <w:rFonts w:ascii="Perpetua" w:hAnsi="Perpetua"/>
          <w:i/>
          <w:iCs/>
          <w:sz w:val="18"/>
          <w:szCs w:val="18"/>
        </w:rPr>
        <w:t>Storia della Chiesa di Alessandria, 2 vols</w:t>
      </w:r>
      <w:r w:rsidRPr="00C74A3D">
        <w:rPr>
          <w:rFonts w:ascii="Perpetua" w:hAnsi="Perpetua"/>
          <w:sz w:val="18"/>
          <w:szCs w:val="18"/>
        </w:rPr>
        <w:t xml:space="preserve">. (Milan-Varese: Istituto editoriale Cisalpino, 1968-70); C. Wilfred Griggs, </w:t>
      </w:r>
      <w:r w:rsidRPr="00C74A3D">
        <w:rPr>
          <w:rFonts w:ascii="Perpetua" w:hAnsi="Perpetua"/>
          <w:i/>
          <w:iCs/>
          <w:sz w:val="18"/>
          <w:szCs w:val="18"/>
        </w:rPr>
        <w:t>Early Egyptian Christianity from Its Origins to 451 C.E.</w:t>
      </w:r>
      <w:r w:rsidRPr="00C74A3D">
        <w:rPr>
          <w:rFonts w:ascii="Perpetua" w:hAnsi="Perpetua"/>
          <w:sz w:val="18"/>
          <w:szCs w:val="18"/>
        </w:rPr>
        <w:t xml:space="preserve"> (Leiden: Brill, 1993).</w:t>
      </w:r>
    </w:p>
  </w:footnote>
  <w:footnote w:id="9">
    <w:p w14:paraId="0E7A7C6E" w14:textId="77777777" w:rsidR="00A81E76" w:rsidRPr="00C74A3D" w:rsidRDefault="00A81E76" w:rsidP="00C03E40">
      <w:pPr>
        <w:spacing w:after="0" w:line="240" w:lineRule="auto"/>
        <w:rPr>
          <w:rFonts w:ascii="Perpetua" w:hAnsi="Perpetua"/>
          <w:sz w:val="18"/>
          <w:szCs w:val="18"/>
        </w:rPr>
      </w:pPr>
      <w:r w:rsidRPr="00C74A3D">
        <w:rPr>
          <w:rStyle w:val="FootnoteReference"/>
          <w:rFonts w:ascii="Perpetua" w:hAnsi="Perpetua"/>
          <w:sz w:val="18"/>
          <w:szCs w:val="18"/>
        </w:rPr>
        <w:footnoteRef/>
      </w:r>
      <w:r w:rsidRPr="00C74A3D">
        <w:rPr>
          <w:rFonts w:ascii="Perpetua" w:hAnsi="Perpetua"/>
          <w:sz w:val="18"/>
          <w:szCs w:val="18"/>
        </w:rPr>
        <w:t xml:space="preserve"> Paul Ricoeur, </w:t>
      </w:r>
      <w:r w:rsidRPr="00C74A3D">
        <w:rPr>
          <w:rFonts w:ascii="Perpetua" w:hAnsi="Perpetua"/>
          <w:i/>
          <w:iCs/>
          <w:sz w:val="18"/>
          <w:szCs w:val="18"/>
        </w:rPr>
        <w:t>The Symbolism of Evil</w:t>
      </w:r>
      <w:r w:rsidRPr="00C74A3D">
        <w:rPr>
          <w:rFonts w:ascii="Perpetua" w:hAnsi="Perpetua"/>
          <w:sz w:val="18"/>
          <w:szCs w:val="18"/>
        </w:rPr>
        <w:t xml:space="preserve"> (Boston: Beacon Press, 1967); cf. Mark I. Wallace, </w:t>
      </w:r>
      <w:r w:rsidRPr="00C74A3D">
        <w:rPr>
          <w:rFonts w:ascii="Perpetua" w:hAnsi="Perpetua"/>
          <w:i/>
          <w:iCs/>
          <w:sz w:val="18"/>
          <w:szCs w:val="18"/>
        </w:rPr>
        <w:t xml:space="preserve">The Second Naiveté: Barth, Ricoeur, and the New Yale Theology </w:t>
      </w:r>
      <w:r w:rsidRPr="00C74A3D">
        <w:rPr>
          <w:rFonts w:ascii="Perpetua" w:hAnsi="Perpetua"/>
          <w:sz w:val="18"/>
          <w:szCs w:val="18"/>
        </w:rPr>
        <w:t>(Macon, Ga.: Mercer, 1990).</w:t>
      </w:r>
    </w:p>
  </w:footnote>
  <w:footnote w:id="10">
    <w:p w14:paraId="0C044C13" w14:textId="77777777" w:rsidR="00A81E76" w:rsidRPr="00C74A3D" w:rsidRDefault="00A81E76" w:rsidP="00C03E40">
      <w:pPr>
        <w:spacing w:after="0" w:line="240" w:lineRule="auto"/>
        <w:rPr>
          <w:rFonts w:ascii="Perpetua" w:hAnsi="Perpetua"/>
          <w:sz w:val="18"/>
          <w:szCs w:val="18"/>
        </w:rPr>
      </w:pPr>
      <w:r w:rsidRPr="00C74A3D">
        <w:rPr>
          <w:rStyle w:val="FootnoteReference"/>
          <w:rFonts w:ascii="Perpetua" w:hAnsi="Perpetua"/>
          <w:sz w:val="18"/>
          <w:szCs w:val="18"/>
        </w:rPr>
        <w:footnoteRef/>
      </w:r>
      <w:r w:rsidRPr="00C74A3D">
        <w:rPr>
          <w:rFonts w:ascii="Perpetua" w:hAnsi="Perpetua"/>
          <w:sz w:val="18"/>
          <w:szCs w:val="18"/>
        </w:rPr>
        <w:t xml:space="preserve"> For recent discussions of a characteristic African memory/story/imagination, see works in the bibliography by Ernest Best, Bénézet Bujo, Ogbu Kalu, Lamin Sanneh and David E. Wilhite.</w:t>
      </w:r>
    </w:p>
  </w:footnote>
  <w:footnote w:id="11">
    <w:p w14:paraId="0EA8BB8B" w14:textId="767534DA" w:rsidR="00A81E76" w:rsidRPr="00C74A3D" w:rsidRDefault="00A81E76" w:rsidP="00C03E40">
      <w:pPr>
        <w:spacing w:after="0" w:line="240" w:lineRule="auto"/>
        <w:rPr>
          <w:rFonts w:ascii="Perpetua" w:hAnsi="Perpetua"/>
          <w:sz w:val="18"/>
          <w:szCs w:val="18"/>
        </w:rPr>
      </w:pPr>
      <w:r w:rsidRPr="00C74A3D">
        <w:rPr>
          <w:rStyle w:val="FootnoteReference"/>
          <w:rFonts w:ascii="Perpetua" w:hAnsi="Perpetua"/>
          <w:sz w:val="18"/>
          <w:szCs w:val="18"/>
        </w:rPr>
        <w:footnoteRef/>
      </w:r>
      <w:r w:rsidRPr="00C74A3D">
        <w:rPr>
          <w:rFonts w:ascii="Perpetua" w:hAnsi="Perpetua"/>
          <w:sz w:val="18"/>
          <w:szCs w:val="18"/>
        </w:rPr>
        <w:t xml:space="preserve"> For recent African discussion of African identity and culture, see works in the bibliography by Bénézet Bujo, Kwame Bediako, James L. Cox and Gerrie ter Haar, Lamin Sanneh and Tite Tiénou.</w:t>
      </w:r>
    </w:p>
  </w:footnote>
  <w:footnote w:id="12">
    <w:p w14:paraId="092DA90E" w14:textId="097989A2" w:rsidR="00A81E76" w:rsidRPr="00C74A3D" w:rsidRDefault="00A81E76" w:rsidP="00C03E40">
      <w:pPr>
        <w:spacing w:after="0" w:line="240" w:lineRule="auto"/>
        <w:rPr>
          <w:rFonts w:ascii="Perpetua" w:hAnsi="Perpetua"/>
          <w:sz w:val="18"/>
          <w:szCs w:val="18"/>
        </w:rPr>
      </w:pPr>
      <w:r w:rsidRPr="00C74A3D">
        <w:rPr>
          <w:rStyle w:val="FootnoteReference"/>
          <w:rFonts w:ascii="Perpetua" w:hAnsi="Perpetua"/>
          <w:sz w:val="18"/>
          <w:szCs w:val="18"/>
        </w:rPr>
        <w:footnoteRef/>
      </w:r>
      <w:r w:rsidRPr="00C74A3D">
        <w:rPr>
          <w:rFonts w:ascii="Perpetua" w:hAnsi="Perpetua"/>
          <w:sz w:val="18"/>
          <w:szCs w:val="18"/>
        </w:rPr>
        <w:t xml:space="preserve"> For recent African discussions of African origins of religion, including Christianity, see works in the bibliography by Paul Bowers, María Elena González Galván and Filipe Miguel Oliveira Resende, Yosef Ben-Jochannan et al., John H. Johnson and Ogbu Kalu.</w:t>
      </w:r>
    </w:p>
  </w:footnote>
  <w:footnote w:id="13">
    <w:p w14:paraId="69D5E07E" w14:textId="77777777" w:rsidR="00BD7FBF" w:rsidRPr="004E3428" w:rsidRDefault="00BD7FBF" w:rsidP="00C03E40">
      <w:pPr>
        <w:pStyle w:val="FootnoteText"/>
        <w:rPr>
          <w:rFonts w:ascii="Perpetua" w:hAnsi="Perpetua"/>
          <w:sz w:val="18"/>
          <w:szCs w:val="18"/>
        </w:rPr>
      </w:pPr>
      <w:r w:rsidRPr="004E3428">
        <w:rPr>
          <w:rStyle w:val="FootnoteReference"/>
          <w:rFonts w:ascii="Perpetua" w:hAnsi="Perpetua"/>
          <w:sz w:val="18"/>
          <w:szCs w:val="18"/>
        </w:rPr>
        <w:footnoteRef/>
      </w:r>
      <w:r w:rsidRPr="004E3428">
        <w:rPr>
          <w:rFonts w:ascii="Perpetua" w:hAnsi="Perpetua"/>
          <w:sz w:val="18"/>
          <w:szCs w:val="18"/>
        </w:rPr>
        <w:t xml:space="preserve"> </w:t>
      </w:r>
      <w:r w:rsidRPr="004E3428">
        <w:rPr>
          <w:rFonts w:ascii="Perpetua" w:hAnsi="Perpetua" w:cs="Times New Roman"/>
          <w:kern w:val="0"/>
          <w:sz w:val="18"/>
          <w:szCs w:val="18"/>
        </w:rPr>
        <w:t xml:space="preserve">Jusu, John. </w:t>
      </w:r>
      <w:r w:rsidRPr="004E3428">
        <w:rPr>
          <w:rFonts w:ascii="Perpetua" w:hAnsi="Perpetua" w:cs="Times New Roman"/>
          <w:i/>
          <w:iCs/>
          <w:kern w:val="0"/>
          <w:sz w:val="18"/>
          <w:szCs w:val="18"/>
        </w:rPr>
        <w:t>Africa Study Bible: New Living Translation</w:t>
      </w:r>
      <w:r w:rsidRPr="004E3428">
        <w:rPr>
          <w:rFonts w:ascii="Perpetua" w:hAnsi="Perpetua" w:cs="Times New Roman"/>
          <w:kern w:val="0"/>
          <w:sz w:val="18"/>
          <w:szCs w:val="18"/>
        </w:rPr>
        <w:t>. 2017, 317.</w:t>
      </w:r>
    </w:p>
  </w:footnote>
  <w:footnote w:id="14">
    <w:p w14:paraId="4D1227C0" w14:textId="77777777" w:rsidR="00BD7FBF" w:rsidRPr="004E3428" w:rsidRDefault="00BD7FBF" w:rsidP="00C03E40">
      <w:pPr>
        <w:pStyle w:val="FootnoteText"/>
        <w:rPr>
          <w:rFonts w:ascii="Perpetua" w:hAnsi="Perpetua"/>
          <w:sz w:val="18"/>
          <w:szCs w:val="18"/>
        </w:rPr>
      </w:pPr>
      <w:r w:rsidRPr="004E3428">
        <w:rPr>
          <w:rStyle w:val="FootnoteReference"/>
          <w:rFonts w:ascii="Perpetua" w:hAnsi="Perpetua"/>
          <w:sz w:val="18"/>
          <w:szCs w:val="18"/>
        </w:rPr>
        <w:footnoteRef/>
      </w:r>
      <w:r w:rsidRPr="004E3428">
        <w:rPr>
          <w:rFonts w:ascii="Perpetua" w:hAnsi="Perpetua"/>
          <w:sz w:val="18"/>
          <w:szCs w:val="18"/>
        </w:rPr>
        <w:t xml:space="preserve"> </w:t>
      </w:r>
      <w:r w:rsidRPr="004E3428">
        <w:rPr>
          <w:rFonts w:ascii="Perpetua" w:hAnsi="Perpetua" w:cs="Times New Roman"/>
          <w:kern w:val="0"/>
          <w:sz w:val="18"/>
          <w:szCs w:val="18"/>
        </w:rPr>
        <w:t xml:space="preserve">Augustine, </w:t>
      </w:r>
      <w:r w:rsidRPr="004E3428">
        <w:rPr>
          <w:rFonts w:ascii="Perpetua" w:hAnsi="Perpetua" w:cs="Times New Roman"/>
          <w:i/>
          <w:iCs/>
          <w:kern w:val="0"/>
          <w:sz w:val="18"/>
          <w:szCs w:val="18"/>
        </w:rPr>
        <w:t>Confessions</w:t>
      </w:r>
      <w:r w:rsidRPr="004E3428">
        <w:rPr>
          <w:rFonts w:ascii="Perpetua" w:hAnsi="Perpetua" w:cs="Times New Roman"/>
          <w:kern w:val="0"/>
          <w:sz w:val="18"/>
          <w:szCs w:val="18"/>
        </w:rPr>
        <w:t xml:space="preserve"> 8.2.</w:t>
      </w:r>
    </w:p>
  </w:footnote>
  <w:footnote w:id="15">
    <w:p w14:paraId="4C8BD2C1" w14:textId="77777777" w:rsidR="00BD7FBF" w:rsidRPr="004E3428" w:rsidRDefault="00BD7FBF" w:rsidP="00C03E40">
      <w:pPr>
        <w:pStyle w:val="FootnoteText"/>
        <w:rPr>
          <w:rFonts w:ascii="Perpetua" w:hAnsi="Perpetua"/>
          <w:sz w:val="18"/>
          <w:szCs w:val="18"/>
        </w:rPr>
      </w:pPr>
      <w:r w:rsidRPr="004E3428">
        <w:rPr>
          <w:rStyle w:val="FootnoteReference"/>
          <w:rFonts w:ascii="Perpetua" w:hAnsi="Perpetua"/>
          <w:sz w:val="18"/>
          <w:szCs w:val="18"/>
        </w:rPr>
        <w:footnoteRef/>
      </w:r>
      <w:r w:rsidRPr="004E3428">
        <w:rPr>
          <w:rFonts w:ascii="Perpetua" w:hAnsi="Perpetua"/>
          <w:sz w:val="18"/>
          <w:szCs w:val="18"/>
        </w:rPr>
        <w:t xml:space="preserve"> </w:t>
      </w:r>
      <w:r w:rsidRPr="004E3428">
        <w:rPr>
          <w:rFonts w:ascii="Perpetua" w:hAnsi="Perpetua" w:cs="Times New Roman"/>
          <w:kern w:val="0"/>
          <w:sz w:val="18"/>
          <w:szCs w:val="18"/>
        </w:rPr>
        <w:t xml:space="preserve">Mt 19:21; Augustine, </w:t>
      </w:r>
      <w:r w:rsidRPr="004E3428">
        <w:rPr>
          <w:rFonts w:ascii="Perpetua" w:hAnsi="Perpetua" w:cs="Times New Roman"/>
          <w:i/>
          <w:iCs/>
          <w:kern w:val="0"/>
          <w:sz w:val="18"/>
          <w:szCs w:val="18"/>
        </w:rPr>
        <w:t>Confessions</w:t>
      </w:r>
      <w:r w:rsidRPr="004E3428">
        <w:rPr>
          <w:rFonts w:ascii="Perpetua" w:hAnsi="Perpetua" w:cs="Times New Roman"/>
          <w:kern w:val="0"/>
          <w:sz w:val="18"/>
          <w:szCs w:val="18"/>
        </w:rPr>
        <w:t xml:space="preserve"> 8.12.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2CFA"/>
    <w:multiLevelType w:val="hybridMultilevel"/>
    <w:tmpl w:val="43DE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76C2F"/>
    <w:multiLevelType w:val="multilevel"/>
    <w:tmpl w:val="1728D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836752"/>
    <w:multiLevelType w:val="hybridMultilevel"/>
    <w:tmpl w:val="F66A04B4"/>
    <w:lvl w:ilvl="0" w:tplc="0409001B">
      <w:start w:val="1"/>
      <w:numFmt w:val="low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1C897443"/>
    <w:multiLevelType w:val="hybridMultilevel"/>
    <w:tmpl w:val="0CD6E34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331D14D7"/>
    <w:multiLevelType w:val="hybridMultilevel"/>
    <w:tmpl w:val="7D4E82F0"/>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15:restartNumberingAfterBreak="0">
    <w:nsid w:val="35DA26CA"/>
    <w:multiLevelType w:val="hybridMultilevel"/>
    <w:tmpl w:val="81CCFB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4A2A22"/>
    <w:multiLevelType w:val="hybridMultilevel"/>
    <w:tmpl w:val="1FF0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876935"/>
    <w:multiLevelType w:val="hybridMultilevel"/>
    <w:tmpl w:val="26BEB0BC"/>
    <w:lvl w:ilvl="0" w:tplc="BAD61B64">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DA90FB9"/>
    <w:multiLevelType w:val="multilevel"/>
    <w:tmpl w:val="D6EA8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F378A1"/>
    <w:multiLevelType w:val="hybridMultilevel"/>
    <w:tmpl w:val="A1780F38"/>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16cid:durableId="2031908254">
    <w:abstractNumId w:val="0"/>
  </w:num>
  <w:num w:numId="2" w16cid:durableId="592711260">
    <w:abstractNumId w:val="6"/>
  </w:num>
  <w:num w:numId="3" w16cid:durableId="1361785029">
    <w:abstractNumId w:val="3"/>
  </w:num>
  <w:num w:numId="4" w16cid:durableId="381515195">
    <w:abstractNumId w:val="1"/>
  </w:num>
  <w:num w:numId="5" w16cid:durableId="1330209015">
    <w:abstractNumId w:val="8"/>
  </w:num>
  <w:num w:numId="6" w16cid:durableId="1455636318">
    <w:abstractNumId w:val="4"/>
  </w:num>
  <w:num w:numId="7" w16cid:durableId="2049599487">
    <w:abstractNumId w:val="9"/>
  </w:num>
  <w:num w:numId="8" w16cid:durableId="720322761">
    <w:abstractNumId w:val="2"/>
  </w:num>
  <w:num w:numId="9" w16cid:durableId="891885461">
    <w:abstractNumId w:val="7"/>
  </w:num>
  <w:num w:numId="10" w16cid:durableId="17112285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5"/>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defaultTabStop w:val="432"/>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C5D"/>
    <w:rsid w:val="000044BF"/>
    <w:rsid w:val="0001588E"/>
    <w:rsid w:val="00034840"/>
    <w:rsid w:val="00051BC2"/>
    <w:rsid w:val="00061605"/>
    <w:rsid w:val="00062C3A"/>
    <w:rsid w:val="00066BED"/>
    <w:rsid w:val="00081034"/>
    <w:rsid w:val="00094737"/>
    <w:rsid w:val="00094EAD"/>
    <w:rsid w:val="000A2483"/>
    <w:rsid w:val="000A711A"/>
    <w:rsid w:val="000C4B6F"/>
    <w:rsid w:val="000E649F"/>
    <w:rsid w:val="000F27C6"/>
    <w:rsid w:val="000F6122"/>
    <w:rsid w:val="0010531F"/>
    <w:rsid w:val="00116315"/>
    <w:rsid w:val="0015008B"/>
    <w:rsid w:val="0017122D"/>
    <w:rsid w:val="00175393"/>
    <w:rsid w:val="00176784"/>
    <w:rsid w:val="00193E20"/>
    <w:rsid w:val="001D5E79"/>
    <w:rsid w:val="00203917"/>
    <w:rsid w:val="00216EFB"/>
    <w:rsid w:val="00224E06"/>
    <w:rsid w:val="00242094"/>
    <w:rsid w:val="002469CF"/>
    <w:rsid w:val="00250334"/>
    <w:rsid w:val="0025304C"/>
    <w:rsid w:val="00254DB0"/>
    <w:rsid w:val="00275DD9"/>
    <w:rsid w:val="002C26EC"/>
    <w:rsid w:val="002C76DE"/>
    <w:rsid w:val="002E5E6E"/>
    <w:rsid w:val="002F2185"/>
    <w:rsid w:val="0030422B"/>
    <w:rsid w:val="00317D39"/>
    <w:rsid w:val="003405AB"/>
    <w:rsid w:val="00344E4F"/>
    <w:rsid w:val="003559B4"/>
    <w:rsid w:val="003602EE"/>
    <w:rsid w:val="00363498"/>
    <w:rsid w:val="00365B2D"/>
    <w:rsid w:val="0038094B"/>
    <w:rsid w:val="00385665"/>
    <w:rsid w:val="00387966"/>
    <w:rsid w:val="00390109"/>
    <w:rsid w:val="00393099"/>
    <w:rsid w:val="003B32C4"/>
    <w:rsid w:val="003B6681"/>
    <w:rsid w:val="003C4767"/>
    <w:rsid w:val="003F102B"/>
    <w:rsid w:val="003F1BBB"/>
    <w:rsid w:val="003F30EA"/>
    <w:rsid w:val="003F70FB"/>
    <w:rsid w:val="0040262C"/>
    <w:rsid w:val="00423D21"/>
    <w:rsid w:val="00444264"/>
    <w:rsid w:val="0046026E"/>
    <w:rsid w:val="00463498"/>
    <w:rsid w:val="004705D5"/>
    <w:rsid w:val="004A422D"/>
    <w:rsid w:val="004C6A81"/>
    <w:rsid w:val="004F5816"/>
    <w:rsid w:val="00542CC4"/>
    <w:rsid w:val="00551D9E"/>
    <w:rsid w:val="005679FF"/>
    <w:rsid w:val="00582C33"/>
    <w:rsid w:val="00583175"/>
    <w:rsid w:val="00586B8B"/>
    <w:rsid w:val="005959A7"/>
    <w:rsid w:val="005A2DE1"/>
    <w:rsid w:val="005B3DB7"/>
    <w:rsid w:val="005B4280"/>
    <w:rsid w:val="005C434A"/>
    <w:rsid w:val="005C727D"/>
    <w:rsid w:val="00603E52"/>
    <w:rsid w:val="00640C74"/>
    <w:rsid w:val="00647875"/>
    <w:rsid w:val="006544C7"/>
    <w:rsid w:val="0067269D"/>
    <w:rsid w:val="00683635"/>
    <w:rsid w:val="006A37AE"/>
    <w:rsid w:val="006B5032"/>
    <w:rsid w:val="006D0A04"/>
    <w:rsid w:val="006E0C18"/>
    <w:rsid w:val="006E4846"/>
    <w:rsid w:val="006F4BA2"/>
    <w:rsid w:val="00752CCA"/>
    <w:rsid w:val="00774010"/>
    <w:rsid w:val="0077709D"/>
    <w:rsid w:val="0078397F"/>
    <w:rsid w:val="00785D2B"/>
    <w:rsid w:val="007A791D"/>
    <w:rsid w:val="007D6829"/>
    <w:rsid w:val="007E0C3D"/>
    <w:rsid w:val="007E1AAA"/>
    <w:rsid w:val="007E1B55"/>
    <w:rsid w:val="00830663"/>
    <w:rsid w:val="0084437D"/>
    <w:rsid w:val="0087286D"/>
    <w:rsid w:val="00883D22"/>
    <w:rsid w:val="00897C16"/>
    <w:rsid w:val="008A00F8"/>
    <w:rsid w:val="008B08D3"/>
    <w:rsid w:val="008B7317"/>
    <w:rsid w:val="008C0875"/>
    <w:rsid w:val="008E2AE7"/>
    <w:rsid w:val="008F5026"/>
    <w:rsid w:val="009339C3"/>
    <w:rsid w:val="00942536"/>
    <w:rsid w:val="009606A9"/>
    <w:rsid w:val="00972B32"/>
    <w:rsid w:val="009D2F7D"/>
    <w:rsid w:val="009D54DE"/>
    <w:rsid w:val="009F0037"/>
    <w:rsid w:val="00A46EBA"/>
    <w:rsid w:val="00A46F5E"/>
    <w:rsid w:val="00A5608B"/>
    <w:rsid w:val="00A81E76"/>
    <w:rsid w:val="00A822F4"/>
    <w:rsid w:val="00A849F5"/>
    <w:rsid w:val="00A861B0"/>
    <w:rsid w:val="00A86E3C"/>
    <w:rsid w:val="00A90ED9"/>
    <w:rsid w:val="00AB75DF"/>
    <w:rsid w:val="00AC0ACD"/>
    <w:rsid w:val="00AC0EDD"/>
    <w:rsid w:val="00AF178D"/>
    <w:rsid w:val="00B05EF6"/>
    <w:rsid w:val="00B2021B"/>
    <w:rsid w:val="00B22DCF"/>
    <w:rsid w:val="00B3604D"/>
    <w:rsid w:val="00B55AEE"/>
    <w:rsid w:val="00B77118"/>
    <w:rsid w:val="00B81C8F"/>
    <w:rsid w:val="00BD7FBF"/>
    <w:rsid w:val="00BE3688"/>
    <w:rsid w:val="00BF573F"/>
    <w:rsid w:val="00C03E40"/>
    <w:rsid w:val="00C0567C"/>
    <w:rsid w:val="00C33226"/>
    <w:rsid w:val="00C52D56"/>
    <w:rsid w:val="00C737C8"/>
    <w:rsid w:val="00C86DC4"/>
    <w:rsid w:val="00CB096C"/>
    <w:rsid w:val="00CB79F0"/>
    <w:rsid w:val="00CC5347"/>
    <w:rsid w:val="00CC6F6C"/>
    <w:rsid w:val="00CF3E88"/>
    <w:rsid w:val="00D108F6"/>
    <w:rsid w:val="00D43025"/>
    <w:rsid w:val="00D435C8"/>
    <w:rsid w:val="00D56931"/>
    <w:rsid w:val="00D84BC5"/>
    <w:rsid w:val="00D8509F"/>
    <w:rsid w:val="00D9290C"/>
    <w:rsid w:val="00DC2DE7"/>
    <w:rsid w:val="00DE4F60"/>
    <w:rsid w:val="00DF0211"/>
    <w:rsid w:val="00E16EDA"/>
    <w:rsid w:val="00E210F5"/>
    <w:rsid w:val="00E33228"/>
    <w:rsid w:val="00E45BA9"/>
    <w:rsid w:val="00E87347"/>
    <w:rsid w:val="00E94C5D"/>
    <w:rsid w:val="00EB3469"/>
    <w:rsid w:val="00EB4033"/>
    <w:rsid w:val="00ED311E"/>
    <w:rsid w:val="00EE147B"/>
    <w:rsid w:val="00EE17D6"/>
    <w:rsid w:val="00EE22F0"/>
    <w:rsid w:val="00EF3321"/>
    <w:rsid w:val="00F16A12"/>
    <w:rsid w:val="00F215E4"/>
    <w:rsid w:val="00F27388"/>
    <w:rsid w:val="00F32321"/>
    <w:rsid w:val="00F411C4"/>
    <w:rsid w:val="00F461C4"/>
    <w:rsid w:val="00F470E4"/>
    <w:rsid w:val="00F60346"/>
    <w:rsid w:val="00F67288"/>
    <w:rsid w:val="00F81055"/>
    <w:rsid w:val="00FE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F472F"/>
  <w15:chartTrackingRefBased/>
  <w15:docId w15:val="{2E80C644-A8E8-4357-BD7B-2EFE3006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2"/>
    <w:qFormat/>
    <w:rsid w:val="00BE3688"/>
    <w:pPr>
      <w:spacing w:after="160" w:line="259" w:lineRule="auto"/>
      <w:jc w:val="left"/>
    </w:pPr>
  </w:style>
  <w:style w:type="paragraph" w:styleId="Heading1">
    <w:name w:val="heading 1"/>
    <w:basedOn w:val="Normal"/>
    <w:next w:val="Normal"/>
    <w:link w:val="Heading1Char"/>
    <w:uiPriority w:val="9"/>
    <w:qFormat/>
    <w:rsid w:val="009F0037"/>
    <w:pPr>
      <w:keepNext/>
      <w:keepLines/>
      <w:spacing w:before="240" w:after="0" w:line="240" w:lineRule="auto"/>
      <w:jc w:val="center"/>
      <w:outlineLvl w:val="0"/>
    </w:pPr>
    <w:rPr>
      <w:rFonts w:ascii="Candara" w:eastAsiaTheme="majorEastAsia" w:hAnsi="Candara" w:cstheme="majorBidi"/>
      <w:sz w:val="24"/>
      <w:szCs w:val="32"/>
    </w:rPr>
  </w:style>
  <w:style w:type="paragraph" w:styleId="Heading2">
    <w:name w:val="heading 2"/>
    <w:basedOn w:val="Normal"/>
    <w:next w:val="Normal"/>
    <w:link w:val="Heading2Char"/>
    <w:uiPriority w:val="9"/>
    <w:unhideWhenUsed/>
    <w:qFormat/>
    <w:rsid w:val="00344E4F"/>
    <w:pPr>
      <w:keepNext/>
      <w:keepLines/>
      <w:spacing w:before="40" w:after="0"/>
      <w:outlineLvl w:val="1"/>
    </w:pPr>
    <w:rPr>
      <w:rFonts w:ascii="Adobe Garamond Pro" w:eastAsiaTheme="majorEastAsia" w:hAnsi="Adobe Garamond Pro"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0C74"/>
    <w:rPr>
      <w:rFonts w:ascii="Palatino Linotype" w:hAnsi="Palatino Linotype"/>
    </w:rPr>
  </w:style>
  <w:style w:type="paragraph" w:customStyle="1" w:styleId="DACBHeading1">
    <w:name w:val="DACB Heading 1"/>
    <w:basedOn w:val="Heading1"/>
    <w:link w:val="DACBHeading1Char"/>
    <w:qFormat/>
    <w:rsid w:val="009F0037"/>
    <w:pPr>
      <w:spacing w:before="480"/>
    </w:pPr>
    <w:rPr>
      <w:rFonts w:eastAsia="Times New Roman" w:cs="Times New Roman"/>
      <w:bCs/>
      <w:szCs w:val="36"/>
    </w:rPr>
  </w:style>
  <w:style w:type="character" w:customStyle="1" w:styleId="DACBHeading1Char">
    <w:name w:val="DACB Heading 1 Char"/>
    <w:basedOn w:val="Heading1Char"/>
    <w:link w:val="DACBHeading1"/>
    <w:rsid w:val="009F0037"/>
    <w:rPr>
      <w:rFonts w:ascii="Candara" w:eastAsia="Times New Roman" w:hAnsi="Candara" w:cs="Times New Roman"/>
      <w:bCs/>
      <w:sz w:val="24"/>
      <w:szCs w:val="36"/>
    </w:rPr>
  </w:style>
  <w:style w:type="character" w:customStyle="1" w:styleId="Heading1Char">
    <w:name w:val="Heading 1 Char"/>
    <w:basedOn w:val="DefaultParagraphFont"/>
    <w:link w:val="Heading1"/>
    <w:uiPriority w:val="9"/>
    <w:rsid w:val="009F0037"/>
    <w:rPr>
      <w:rFonts w:ascii="Candara" w:eastAsiaTheme="majorEastAsia" w:hAnsi="Candara" w:cstheme="majorBidi"/>
      <w:sz w:val="24"/>
      <w:szCs w:val="32"/>
    </w:rPr>
  </w:style>
  <w:style w:type="table" w:styleId="TableGrid">
    <w:name w:val="Table Grid"/>
    <w:basedOn w:val="TableNormal"/>
    <w:uiPriority w:val="59"/>
    <w:rsid w:val="00BE3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567C"/>
    <w:rPr>
      <w:color w:val="0563C1" w:themeColor="hyperlink"/>
      <w:u w:val="single"/>
    </w:rPr>
  </w:style>
  <w:style w:type="paragraph" w:styleId="TOCHeading">
    <w:name w:val="TOC Heading"/>
    <w:basedOn w:val="Heading1"/>
    <w:next w:val="Normal"/>
    <w:uiPriority w:val="39"/>
    <w:unhideWhenUsed/>
    <w:qFormat/>
    <w:rsid w:val="00C0567C"/>
    <w:pPr>
      <w:spacing w:line="259" w:lineRule="auto"/>
      <w:outlineLvl w:val="9"/>
    </w:pPr>
  </w:style>
  <w:style w:type="paragraph" w:styleId="TOC2">
    <w:name w:val="toc 2"/>
    <w:basedOn w:val="Normal"/>
    <w:next w:val="Normal"/>
    <w:autoRedefine/>
    <w:uiPriority w:val="39"/>
    <w:unhideWhenUsed/>
    <w:rsid w:val="00C0567C"/>
    <w:pPr>
      <w:spacing w:after="100"/>
      <w:ind w:left="220"/>
    </w:pPr>
  </w:style>
  <w:style w:type="paragraph" w:styleId="TOC1">
    <w:name w:val="toc 1"/>
    <w:basedOn w:val="Normal"/>
    <w:next w:val="Normal"/>
    <w:autoRedefine/>
    <w:uiPriority w:val="39"/>
    <w:unhideWhenUsed/>
    <w:rsid w:val="00C0567C"/>
    <w:pPr>
      <w:spacing w:after="100"/>
    </w:pPr>
  </w:style>
  <w:style w:type="paragraph" w:styleId="TOC3">
    <w:name w:val="toc 3"/>
    <w:basedOn w:val="Normal"/>
    <w:next w:val="Normal"/>
    <w:autoRedefine/>
    <w:uiPriority w:val="39"/>
    <w:unhideWhenUsed/>
    <w:rsid w:val="00EE22F0"/>
    <w:pPr>
      <w:spacing w:after="100"/>
      <w:ind w:left="440"/>
    </w:pPr>
    <w:rPr>
      <w:rFonts w:eastAsiaTheme="minorEastAsia" w:cs="Times New Roman"/>
    </w:rPr>
  </w:style>
  <w:style w:type="paragraph" w:styleId="Header">
    <w:name w:val="header"/>
    <w:basedOn w:val="Normal"/>
    <w:link w:val="HeaderChar"/>
    <w:uiPriority w:val="99"/>
    <w:unhideWhenUsed/>
    <w:rsid w:val="00E21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0F5"/>
  </w:style>
  <w:style w:type="paragraph" w:styleId="Footer">
    <w:name w:val="footer"/>
    <w:basedOn w:val="Normal"/>
    <w:link w:val="FooterChar"/>
    <w:uiPriority w:val="99"/>
    <w:unhideWhenUsed/>
    <w:rsid w:val="00E21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0F5"/>
  </w:style>
  <w:style w:type="character" w:customStyle="1" w:styleId="Heading2Char">
    <w:name w:val="Heading 2 Char"/>
    <w:basedOn w:val="DefaultParagraphFont"/>
    <w:link w:val="Heading2"/>
    <w:uiPriority w:val="9"/>
    <w:rsid w:val="00344E4F"/>
    <w:rPr>
      <w:rFonts w:ascii="Adobe Garamond Pro" w:eastAsiaTheme="majorEastAsia" w:hAnsi="Adobe Garamond Pro" w:cstheme="majorBidi"/>
      <w:b/>
      <w:szCs w:val="26"/>
    </w:rPr>
  </w:style>
  <w:style w:type="character" w:styleId="UnresolvedMention">
    <w:name w:val="Unresolved Mention"/>
    <w:basedOn w:val="DefaultParagraphFont"/>
    <w:uiPriority w:val="99"/>
    <w:semiHidden/>
    <w:unhideWhenUsed/>
    <w:rsid w:val="00393099"/>
    <w:rPr>
      <w:color w:val="605E5C"/>
      <w:shd w:val="clear" w:color="auto" w:fill="E1DFDD"/>
    </w:rPr>
  </w:style>
  <w:style w:type="paragraph" w:styleId="ListParagraph">
    <w:name w:val="List Paragraph"/>
    <w:basedOn w:val="Normal"/>
    <w:uiPriority w:val="34"/>
    <w:qFormat/>
    <w:rsid w:val="00EB4033"/>
    <w:pPr>
      <w:ind w:left="720"/>
      <w:contextualSpacing/>
    </w:pPr>
  </w:style>
  <w:style w:type="paragraph" w:styleId="BodyText">
    <w:name w:val="Body Text"/>
    <w:basedOn w:val="Normal"/>
    <w:link w:val="BodyTextChar"/>
    <w:uiPriority w:val="1"/>
    <w:qFormat/>
    <w:rsid w:val="00897C16"/>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897C16"/>
    <w:rPr>
      <w:rFonts w:ascii="Times New Roman" w:eastAsia="Times New Roman" w:hAnsi="Times New Roman" w:cs="Times New Roman"/>
      <w:sz w:val="20"/>
      <w:szCs w:val="20"/>
    </w:rPr>
  </w:style>
  <w:style w:type="paragraph" w:customStyle="1" w:styleId="BasicParagraph">
    <w:name w:val="[Basic Paragraph]"/>
    <w:basedOn w:val="Normal"/>
    <w:uiPriority w:val="99"/>
    <w:rsid w:val="00897C16"/>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FootnoteText">
    <w:name w:val="footnote text"/>
    <w:basedOn w:val="Normal"/>
    <w:link w:val="FootnoteTextChar"/>
    <w:uiPriority w:val="99"/>
    <w:semiHidden/>
    <w:unhideWhenUsed/>
    <w:rsid w:val="008C0875"/>
    <w:pPr>
      <w:spacing w:after="0" w:line="240" w:lineRule="auto"/>
    </w:pPr>
    <w:rPr>
      <w:kern w:val="2"/>
      <w:sz w:val="20"/>
      <w:szCs w:val="20"/>
      <w14:ligatures w14:val="standardContextual"/>
    </w:rPr>
  </w:style>
  <w:style w:type="character" w:customStyle="1" w:styleId="FootnoteTextChar">
    <w:name w:val="Footnote Text Char"/>
    <w:basedOn w:val="DefaultParagraphFont"/>
    <w:link w:val="FootnoteText"/>
    <w:uiPriority w:val="99"/>
    <w:semiHidden/>
    <w:rsid w:val="008C0875"/>
    <w:rPr>
      <w:kern w:val="2"/>
      <w:sz w:val="20"/>
      <w:szCs w:val="20"/>
      <w14:ligatures w14:val="standardContextual"/>
    </w:rPr>
  </w:style>
  <w:style w:type="character" w:styleId="FootnoteReference">
    <w:name w:val="footnote reference"/>
    <w:basedOn w:val="DefaultParagraphFont"/>
    <w:uiPriority w:val="99"/>
    <w:semiHidden/>
    <w:unhideWhenUsed/>
    <w:rsid w:val="008C08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63541">
      <w:bodyDiv w:val="1"/>
      <w:marLeft w:val="0"/>
      <w:marRight w:val="0"/>
      <w:marTop w:val="0"/>
      <w:marBottom w:val="0"/>
      <w:divBdr>
        <w:top w:val="none" w:sz="0" w:space="0" w:color="auto"/>
        <w:left w:val="none" w:sz="0" w:space="0" w:color="auto"/>
        <w:bottom w:val="none" w:sz="0" w:space="0" w:color="auto"/>
        <w:right w:val="none" w:sz="0" w:space="0" w:color="auto"/>
      </w:divBdr>
    </w:div>
    <w:div w:id="1747536889">
      <w:bodyDiv w:val="1"/>
      <w:marLeft w:val="0"/>
      <w:marRight w:val="0"/>
      <w:marTop w:val="0"/>
      <w:marBottom w:val="0"/>
      <w:divBdr>
        <w:top w:val="none" w:sz="0" w:space="0" w:color="auto"/>
        <w:left w:val="none" w:sz="0" w:space="0" w:color="auto"/>
        <w:bottom w:val="none" w:sz="0" w:space="0" w:color="auto"/>
        <w:right w:val="none" w:sz="0" w:space="0" w:color="auto"/>
      </w:divBdr>
    </w:div>
    <w:div w:id="212422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cb.org/resources/final_instr_manual.pdf" TargetMode="External"/><Relationship Id="rId18" Type="http://schemas.openxmlformats.org/officeDocument/2006/relationships/hyperlink" Target="mailto:dacb@bu.edu" TargetMode="External"/><Relationship Id="rId26" Type="http://schemas.openxmlformats.org/officeDocument/2006/relationships/hyperlink" Target="https://www.amazon.com/Early-North-African-Christianity-Development/dp/1540963675/ref=sr_1_1?crid=245URIZSQPGQC&amp;keywords=Early+North+African+Christianity+%3A+turning+points+in+the+development+of+the+church.&amp;qid=1705082375&amp;sprefix=early+north+african+christianity+turning+points+in+the+development+of+the+church.%2Caps%2C127&amp;sr=8-1"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mailto:dacb@bu.edu" TargetMode="External"/><Relationship Id="rId17" Type="http://schemas.openxmlformats.org/officeDocument/2006/relationships/image" Target="media/image6.png"/><Relationship Id="rId25" Type="http://schemas.openxmlformats.org/officeDocument/2006/relationships/hyperlink" Target="https://www.amazon.com/Africa-Early-Church-Almost-Forgotten-Christianity/dp/1645852598/ref=sr_1_1?crid=2Y2S0CL5V44MA&amp;keywords=AFRICA+AND+THE+EARLY+CHURCH+%3A+the+almost-forgotten+roots+of+catholic+christianity&amp;qid=1705082723&amp;sprefix=africa+and+the+early+church+the+almost-forgotten+roots+of+catholic+christianity%2Caps%2C115&amp;sr=8-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earlyafricanchristianity.com/" TargetMode="External"/><Relationship Id="rId29" Type="http://schemas.openxmlformats.org/officeDocument/2006/relationships/hyperlink" Target="https://www.acjol.org/index.php/iaajah/article/view/14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info@odenhouse.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mrambaranolm.medium.com/anglo-saxon-studies-academia-and-white-supremacy-17c87b360bf3" TargetMode="External"/><Relationship Id="rId28" Type="http://schemas.openxmlformats.org/officeDocument/2006/relationships/hyperlink" Target="https://www.amazon.com/Commencement-Council-Carthage-Handbooks-Reception/dp/1614517568" TargetMode="External"/><Relationship Id="rId10" Type="http://schemas.openxmlformats.org/officeDocument/2006/relationships/image" Target="media/image2.jpg"/><Relationship Id="rId19" Type="http://schemas.openxmlformats.org/officeDocument/2006/relationships/hyperlink" Target="mailto:info@earlyafricanchristianity.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dacb.org/journal/" TargetMode="External"/><Relationship Id="rId22" Type="http://schemas.openxmlformats.org/officeDocument/2006/relationships/hyperlink" Target="Https://blogs.bl.uk/digitisedmanuscripts/2016/10/an-african-abbot-in-anglo-saxon-england.html" TargetMode="External"/><Relationship Id="rId27" Type="http://schemas.openxmlformats.org/officeDocument/2006/relationships/hyperlink" Target="https://www.amazon.com/Catechumenate-centuries-Contemporaries-Supplements-Christianae/dp/9004431896/ref=sr_1_1?crid=SXV4DDEKR4AY&amp;keywords=The+Catechumenate+in+late+antique+Africa+%284th-6th+centuries%29%3A+Augustine+of+Hippo%2C+his+contemporaries+and+early+reception.&amp;qid=1705077218&amp;sprefix=the+catechumenate+in+late+antique+africa+4th-6th+centuries+augustine+of+hippo%2C+his+contemporaries+and+early+reception.+%2Caps%2C96&amp;sr=8-1" TargetMode="External"/><Relationship Id="rId30" Type="http://schemas.openxmlformats.org/officeDocument/2006/relationships/hyperlink" Target="https://doi.org/10.31743/vp.12958" TargetMode="External"/><Relationship Id="rId8" Type="http://schemas.openxmlformats.org/officeDocument/2006/relationships/hyperlink" Target="http://www.DAC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A56C9-8147-4DC0-9D3D-E0AD9EB1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62</Pages>
  <Words>24332</Words>
  <Characters>127017</Characters>
  <Application>Microsoft Office Word</Application>
  <DocSecurity>0</DocSecurity>
  <Lines>2490</Lines>
  <Paragraphs>678</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150671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Biography, Dictionary of</dc:creator>
  <cp:keywords/>
  <dc:description/>
  <cp:lastModifiedBy>Christian Biography, Dictionary of</cp:lastModifiedBy>
  <cp:revision>7</cp:revision>
  <cp:lastPrinted>2024-02-09T21:28:00Z</cp:lastPrinted>
  <dcterms:created xsi:type="dcterms:W3CDTF">2024-02-09T21:08:00Z</dcterms:created>
  <dcterms:modified xsi:type="dcterms:W3CDTF">2024-02-10T14:13:00Z</dcterms:modified>
</cp:coreProperties>
</file>